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widowControl/>
        <w:spacing w:line="580" w:lineRule="exact"/>
        <w:ind w:firstLine="440" w:firstLineChars="1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非营运小微型客车检验周期表（10年以内）</w:t>
      </w:r>
    </w:p>
    <w:p>
      <w:pPr>
        <w:widowControl/>
        <w:spacing w:line="580" w:lineRule="exact"/>
        <w:ind w:firstLine="1446" w:firstLineChars="450"/>
        <w:rPr>
          <w:rFonts w:eastAsia="仿宋_GB2312"/>
          <w:b/>
          <w:sz w:val="32"/>
          <w:szCs w:val="32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53"/>
        <w:gridCol w:w="2075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车辆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widowControl/>
              <w:spacing w:line="440" w:lineRule="exact"/>
              <w:ind w:firstLine="703" w:firstLineChars="25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注册登记日期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widowControl/>
              <w:spacing w:line="440" w:lineRule="exact"/>
              <w:ind w:firstLine="281" w:firstLineChars="1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免于上线</w:t>
            </w:r>
          </w:p>
          <w:p>
            <w:pPr>
              <w:widowControl/>
              <w:spacing w:line="440" w:lineRule="exact"/>
              <w:ind w:firstLine="281" w:firstLineChars="1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检测次数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需到检验机构上线检测时间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提示事项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restart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9座以下非营运小微型载客汽车（面包车除外）</w:t>
            </w: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2018年11月1日（含）之后（2年内）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4次免检（第2年、第4年、第7年、第9年）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第6年、第8年、第10年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第2年和第4年需申领检验标志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2016年11月1日（含）至2018年10月31日（含）之间（2—4年）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3次免检（第4年、第7年、第9年）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第6年、第8年、第10年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第4年需申领检验标志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2014年11月1日（含）至2016年10月31日（含）之间（4—6年）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2次免检（第7年、第9年）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第6年、第8年、第10年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2013年11月1日（含）至2014年10月31日（含）之间（6—7年）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2次免检（第7年、第9年）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第8年、第10年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2011年11月1日（含）至2013年10月31日（含）之间（7—9年）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1次免检（第9年）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2011年10月31日（含）之前（9年以上）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不予免检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第10年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备注：对在用车第7年已按规定检验的，第8年免检，第9年、第10年需正常参加检验；对在用车第9年已按规定检验的，不享受免检政策，第10年需正常参加检验。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4F0FFB"/>
    <w:rsid w:val="7DFB7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uiPriority w:val="0"/>
    <w:rPr>
      <w:color w:val="0000FF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paragraph" w:customStyle="1" w:styleId="8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120</Words>
  <Characters>686</Characters>
  <Lines>5</Lines>
  <Paragraphs>1</Paragraphs>
  <TotalTime>2.33333333333333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2020-11-17T23:38:43Z</dcterms:created>
  <dc:creator>bjcgs</dc:creator>
  <cp:lastModifiedBy>admin</cp:lastModifiedBy>
  <dcterms:modified xsi:type="dcterms:W3CDTF">2020-11-19T09:01:29Z</dcterms:modified>
  <dc:title>bjcgs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