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29BC6">
      <w:pPr>
        <w:adjustRightInd w:val="0"/>
        <w:snapToGrid w:val="0"/>
        <w:spacing w:line="360" w:lineRule="auto"/>
        <w:jc w:val="center"/>
        <w:rPr>
          <w:rFonts w:ascii="Times New Roman" w:hAnsi="Times New Roman" w:eastAsia="黑体" w:cs="Times New Roman"/>
          <w:b/>
          <w:sz w:val="52"/>
          <w:szCs w:val="52"/>
          <w:lang w:val="zh-CN"/>
        </w:rPr>
      </w:pPr>
    </w:p>
    <w:p w14:paraId="639E59A5">
      <w:pPr>
        <w:adjustRightInd w:val="0"/>
        <w:snapToGrid w:val="0"/>
        <w:spacing w:line="360" w:lineRule="auto"/>
        <w:jc w:val="center"/>
        <w:rPr>
          <w:rFonts w:ascii="Times New Roman" w:hAnsi="Times New Roman" w:eastAsia="黑体" w:cs="Times New Roman"/>
          <w:b/>
          <w:sz w:val="52"/>
          <w:szCs w:val="52"/>
          <w:lang w:val="zh-CN"/>
        </w:rPr>
      </w:pPr>
    </w:p>
    <w:p w14:paraId="5BC04EF3">
      <w:pPr>
        <w:adjustRightInd w:val="0"/>
        <w:snapToGrid w:val="0"/>
        <w:spacing w:line="360" w:lineRule="auto"/>
        <w:jc w:val="center"/>
        <w:rPr>
          <w:rFonts w:ascii="Times New Roman" w:hAnsi="Times New Roman" w:eastAsia="黑体" w:cs="Times New Roman"/>
          <w:b/>
          <w:sz w:val="52"/>
          <w:szCs w:val="52"/>
          <w:lang w:val="zh-CN"/>
        </w:rPr>
      </w:pPr>
    </w:p>
    <w:p w14:paraId="20DF6638">
      <w:pPr>
        <w:adjustRightInd w:val="0"/>
        <w:snapToGrid w:val="0"/>
        <w:spacing w:line="360" w:lineRule="auto"/>
        <w:jc w:val="center"/>
        <w:rPr>
          <w:rFonts w:ascii="Times New Roman" w:hAnsi="Times New Roman" w:eastAsia="黑体" w:cs="Times New Roman"/>
          <w:b/>
          <w:sz w:val="52"/>
          <w:szCs w:val="52"/>
          <w:lang w:val="zh-CN"/>
        </w:rPr>
      </w:pPr>
      <w:r>
        <w:rPr>
          <w:rFonts w:hint="eastAsia" w:ascii="Times New Roman" w:hAnsi="Times New Roman" w:eastAsia="黑体" w:cs="Times New Roman"/>
          <w:b/>
          <w:sz w:val="52"/>
          <w:szCs w:val="52"/>
          <w:lang w:val="zh-CN"/>
        </w:rPr>
        <w:t>北京市公安局公安交通管理局</w:t>
      </w:r>
    </w:p>
    <w:p w14:paraId="154C6FBF">
      <w:pPr>
        <w:adjustRightInd w:val="0"/>
        <w:snapToGrid w:val="0"/>
        <w:spacing w:line="360" w:lineRule="auto"/>
        <w:jc w:val="center"/>
        <w:rPr>
          <w:rFonts w:ascii="Times New Roman" w:hAnsi="Times New Roman" w:eastAsia="黑体" w:cs="Times New Roman"/>
          <w:b/>
          <w:sz w:val="52"/>
          <w:szCs w:val="52"/>
          <w:lang w:val="zh-CN"/>
        </w:rPr>
      </w:pPr>
      <w:r>
        <w:rPr>
          <w:rFonts w:hint="eastAsia" w:ascii="Times New Roman" w:hAnsi="Times New Roman" w:eastAsia="黑体" w:cs="Times New Roman"/>
          <w:b/>
          <w:sz w:val="52"/>
          <w:szCs w:val="52"/>
          <w:lang w:val="zh-CN"/>
        </w:rPr>
        <w:t>2022</w:t>
      </w:r>
      <w:r>
        <w:rPr>
          <w:rFonts w:ascii="Times New Roman" w:hAnsi="Times New Roman" w:eastAsia="黑体" w:cs="Times New Roman"/>
          <w:b/>
          <w:sz w:val="52"/>
          <w:szCs w:val="52"/>
          <w:lang w:val="zh-CN"/>
        </w:rPr>
        <w:t>年度部门整体绩效</w:t>
      </w:r>
      <w:r>
        <w:rPr>
          <w:rFonts w:hint="eastAsia" w:ascii="Times New Roman" w:hAnsi="Times New Roman" w:eastAsia="黑体" w:cs="Times New Roman"/>
          <w:b/>
          <w:sz w:val="52"/>
          <w:szCs w:val="52"/>
          <w:lang w:val="zh-CN"/>
        </w:rPr>
        <w:t>评价</w:t>
      </w:r>
      <w:r>
        <w:rPr>
          <w:rFonts w:ascii="Times New Roman" w:hAnsi="Times New Roman" w:eastAsia="黑体" w:cs="Times New Roman"/>
          <w:b/>
          <w:sz w:val="52"/>
          <w:szCs w:val="52"/>
          <w:lang w:val="zh-CN"/>
        </w:rPr>
        <w:t>报告</w:t>
      </w:r>
    </w:p>
    <w:p w14:paraId="73034699">
      <w:pPr>
        <w:ind w:firstLine="640"/>
        <w:jc w:val="center"/>
        <w:rPr>
          <w:rFonts w:ascii="Times New Roman" w:hAnsi="Times New Roman" w:cs="Times New Roman"/>
          <w:color w:val="000000"/>
          <w:sz w:val="32"/>
        </w:rPr>
      </w:pPr>
    </w:p>
    <w:p w14:paraId="0073B682">
      <w:pPr>
        <w:ind w:firstLine="640"/>
        <w:jc w:val="center"/>
        <w:rPr>
          <w:rFonts w:ascii="Times New Roman" w:hAnsi="Times New Roman" w:cs="Times New Roman"/>
          <w:color w:val="000000"/>
          <w:sz w:val="32"/>
        </w:rPr>
      </w:pPr>
    </w:p>
    <w:p w14:paraId="24F270DA">
      <w:pPr>
        <w:ind w:firstLine="640"/>
        <w:jc w:val="center"/>
        <w:rPr>
          <w:rFonts w:ascii="Times New Roman" w:hAnsi="Times New Roman" w:cs="Times New Roman"/>
          <w:color w:val="000000"/>
          <w:sz w:val="32"/>
        </w:rPr>
      </w:pPr>
    </w:p>
    <w:p w14:paraId="50475517">
      <w:pPr>
        <w:ind w:firstLine="640"/>
        <w:jc w:val="center"/>
        <w:rPr>
          <w:rFonts w:ascii="Times New Roman" w:hAnsi="Times New Roman" w:cs="Times New Roman"/>
          <w:color w:val="000000"/>
          <w:sz w:val="32"/>
        </w:rPr>
      </w:pPr>
    </w:p>
    <w:p w14:paraId="6D16B818">
      <w:pPr>
        <w:ind w:firstLine="640"/>
        <w:jc w:val="center"/>
        <w:rPr>
          <w:rFonts w:ascii="Times New Roman" w:hAnsi="Times New Roman" w:cs="Times New Roman"/>
          <w:color w:val="000000"/>
          <w:sz w:val="32"/>
        </w:rPr>
      </w:pPr>
    </w:p>
    <w:p w14:paraId="774FEB66">
      <w:pPr>
        <w:ind w:firstLine="640"/>
        <w:rPr>
          <w:rFonts w:ascii="Times New Roman" w:hAnsi="Times New Roman" w:cs="Times New Roman"/>
          <w:color w:val="000000"/>
          <w:sz w:val="32"/>
        </w:rPr>
      </w:pPr>
    </w:p>
    <w:p w14:paraId="7634ACAE">
      <w:pPr>
        <w:ind w:firstLine="643"/>
        <w:jc w:val="center"/>
        <w:rPr>
          <w:rFonts w:ascii="Times New Roman" w:hAnsi="Times New Roman" w:eastAsia="仿宋" w:cs="Times New Roman"/>
          <w:b/>
          <w:color w:val="000000"/>
          <w:sz w:val="32"/>
          <w:szCs w:val="32"/>
        </w:rPr>
      </w:pPr>
    </w:p>
    <w:p w14:paraId="6EBA8023">
      <w:pPr>
        <w:ind w:firstLine="643"/>
        <w:jc w:val="center"/>
        <w:rPr>
          <w:rFonts w:ascii="Times New Roman" w:hAnsi="Times New Roman" w:eastAsia="仿宋" w:cs="Times New Roman"/>
          <w:b/>
          <w:color w:val="000000"/>
          <w:sz w:val="32"/>
          <w:szCs w:val="32"/>
        </w:rPr>
      </w:pPr>
    </w:p>
    <w:p w14:paraId="6083891C">
      <w:pPr>
        <w:ind w:firstLine="643"/>
        <w:jc w:val="center"/>
        <w:rPr>
          <w:rFonts w:ascii="Times New Roman" w:hAnsi="Times New Roman" w:eastAsia="仿宋" w:cs="Times New Roman"/>
          <w:b/>
          <w:color w:val="000000"/>
          <w:sz w:val="32"/>
          <w:szCs w:val="32"/>
        </w:rPr>
      </w:pPr>
    </w:p>
    <w:p w14:paraId="7691C100">
      <w:pPr>
        <w:ind w:firstLine="643"/>
        <w:jc w:val="center"/>
        <w:rPr>
          <w:rFonts w:ascii="Times New Roman" w:hAnsi="Times New Roman" w:eastAsia="仿宋" w:cs="Times New Roman"/>
          <w:b/>
          <w:color w:val="000000"/>
          <w:sz w:val="32"/>
          <w:szCs w:val="32"/>
        </w:rPr>
      </w:pPr>
    </w:p>
    <w:p w14:paraId="707226E5">
      <w:pPr>
        <w:jc w:val="center"/>
        <w:rPr>
          <w:rFonts w:ascii="Times New Roman" w:hAnsi="Times New Roman" w:eastAsia="黑体" w:cs="Times New Roman"/>
          <w:bCs/>
          <w:sz w:val="36"/>
          <w:szCs w:val="44"/>
        </w:rPr>
      </w:pPr>
      <w:r>
        <w:rPr>
          <w:rFonts w:hint="eastAsia" w:ascii="Times New Roman" w:hAnsi="Times New Roman" w:eastAsia="黑体" w:cs="Times New Roman"/>
          <w:bCs/>
          <w:sz w:val="36"/>
          <w:szCs w:val="44"/>
        </w:rPr>
        <w:t>北京市公安局公安交通管理局</w:t>
      </w:r>
    </w:p>
    <w:p w14:paraId="3E32C814">
      <w:pPr>
        <w:jc w:val="center"/>
        <w:rPr>
          <w:rFonts w:ascii="Times New Roman" w:hAnsi="Times New Roman" w:eastAsia="仿宋_GB2312" w:cs="Times New Roman"/>
          <w:color w:val="000000"/>
          <w:sz w:val="24"/>
        </w:rPr>
      </w:pPr>
      <w:r>
        <w:rPr>
          <w:rFonts w:hint="eastAsia" w:ascii="Times New Roman" w:hAnsi="Times New Roman" w:eastAsia="黑体" w:cs="Times New Roman"/>
          <w:bCs/>
          <w:sz w:val="36"/>
          <w:szCs w:val="44"/>
          <w:lang w:eastAsia="zh-CN"/>
        </w:rPr>
        <w:t>2023</w:t>
      </w:r>
      <w:r>
        <w:rPr>
          <w:rFonts w:ascii="Times New Roman" w:hAnsi="Times New Roman" w:eastAsia="黑体" w:cs="Times New Roman"/>
          <w:bCs/>
          <w:sz w:val="36"/>
          <w:szCs w:val="44"/>
        </w:rPr>
        <w:t>年5月</w:t>
      </w:r>
    </w:p>
    <w:p w14:paraId="11BA46E9">
      <w:pPr>
        <w:adjustRightInd w:val="0"/>
        <w:snapToGrid w:val="0"/>
        <w:spacing w:line="360" w:lineRule="auto"/>
        <w:jc w:val="center"/>
        <w:rPr>
          <w:rFonts w:ascii="Times New Roman" w:hAnsi="Times New Roman" w:eastAsia="华文中宋" w:cs="Times New Roman"/>
          <w:bCs/>
          <w:sz w:val="36"/>
          <w:szCs w:val="44"/>
        </w:rPr>
      </w:pPr>
    </w:p>
    <w:p w14:paraId="7324C956">
      <w:pPr>
        <w:widowControl/>
        <w:jc w:val="left"/>
        <w:rPr>
          <w:rFonts w:ascii="Times New Roman" w:hAnsi="Times New Roman" w:eastAsia="华文中宋" w:cs="Times New Roman"/>
          <w:bCs/>
          <w:sz w:val="36"/>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华文中宋" w:cs="Times New Roman"/>
          <w:bCs/>
          <w:sz w:val="36"/>
          <w:szCs w:val="44"/>
        </w:rPr>
        <w:br w:type="page"/>
      </w:r>
    </w:p>
    <w:sdt>
      <w:sdtPr>
        <w:rPr>
          <w:rFonts w:ascii="Times New Roman" w:hAnsi="Times New Roman" w:cs="Times New Roman" w:eastAsiaTheme="minorEastAsia"/>
          <w:color w:val="auto"/>
          <w:kern w:val="2"/>
          <w:sz w:val="21"/>
          <w:szCs w:val="22"/>
          <w:lang w:val="zh-CN"/>
        </w:rPr>
        <w:id w:val="-1255974707"/>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14:paraId="12172CF3">
          <w:pPr>
            <w:pStyle w:val="2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lang w:val="zh-CN"/>
              <w14:textFill>
                <w14:solidFill>
                  <w14:schemeClr w14:val="tx1"/>
                </w14:solidFill>
              </w14:textFill>
            </w:rPr>
            <w:t>目  录</w:t>
          </w:r>
        </w:p>
        <w:p w14:paraId="5C9A13AB">
          <w:pPr>
            <w:pStyle w:val="7"/>
            <w:tabs>
              <w:tab w:val="right" w:leader="dot" w:pos="8296"/>
            </w:tabs>
            <w:rPr>
              <w:rFonts w:ascii="仿宋_GB2312" w:eastAsia="仿宋_GB2312"/>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TOC \o "1-3" \h \z \u </w:instrText>
          </w:r>
          <w:r>
            <w:rPr>
              <w:rFonts w:ascii="Times New Roman" w:hAnsi="Times New Roman" w:cs="Times New Roman"/>
              <w:sz w:val="32"/>
              <w:szCs w:val="32"/>
            </w:rPr>
            <w:fldChar w:fldCharType="separate"/>
          </w:r>
          <w:r>
            <w:fldChar w:fldCharType="begin"/>
          </w:r>
          <w:r>
            <w:instrText xml:space="preserve"> HYPERLINK \l "_Toc103542828" </w:instrText>
          </w:r>
          <w:r>
            <w:fldChar w:fldCharType="separate"/>
          </w:r>
          <w:r>
            <w:rPr>
              <w:rStyle w:val="14"/>
              <w:rFonts w:hint="eastAsia" w:ascii="仿宋_GB2312" w:hAnsi="Times New Roman" w:eastAsia="仿宋_GB2312" w:cs="Times New Roman"/>
              <w:sz w:val="32"/>
              <w:szCs w:val="32"/>
            </w:rPr>
            <w:t>一、部门概况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_Toc103542828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50DAA538">
          <w:pPr>
            <w:pStyle w:val="8"/>
            <w:tabs>
              <w:tab w:val="right" w:leader="dot" w:pos="8296"/>
            </w:tabs>
            <w:rPr>
              <w:rFonts w:ascii="仿宋_GB2312" w:eastAsia="仿宋_GB2312"/>
              <w:sz w:val="32"/>
              <w:szCs w:val="32"/>
            </w:rPr>
          </w:pPr>
          <w:r>
            <w:fldChar w:fldCharType="begin"/>
          </w:r>
          <w:r>
            <w:instrText xml:space="preserve"> HYPERLINK \l "_Toc103542829" </w:instrText>
          </w:r>
          <w:r>
            <w:fldChar w:fldCharType="separate"/>
          </w:r>
          <w:r>
            <w:rPr>
              <w:rStyle w:val="14"/>
              <w:rFonts w:hint="eastAsia" w:ascii="仿宋_GB2312" w:hAnsi="Times New Roman" w:eastAsia="仿宋_GB2312" w:cs="Times New Roman"/>
              <w:sz w:val="32"/>
              <w:szCs w:val="32"/>
            </w:rPr>
            <w:t>（一）机构设置及职责工作任务情况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_Toc103542829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61E67F36">
          <w:pPr>
            <w:pStyle w:val="8"/>
            <w:tabs>
              <w:tab w:val="right" w:leader="dot" w:pos="8296"/>
            </w:tabs>
            <w:rPr>
              <w:rFonts w:ascii="仿宋_GB2312" w:eastAsia="仿宋_GB2312"/>
              <w:sz w:val="32"/>
              <w:szCs w:val="32"/>
            </w:rPr>
          </w:pPr>
          <w:r>
            <w:fldChar w:fldCharType="begin"/>
          </w:r>
          <w:r>
            <w:instrText xml:space="preserve"> HYPERLINK \l "_Toc103542832" </w:instrText>
          </w:r>
          <w:r>
            <w:fldChar w:fldCharType="separate"/>
          </w:r>
          <w:r>
            <w:rPr>
              <w:rStyle w:val="14"/>
              <w:rFonts w:hint="eastAsia" w:ascii="仿宋_GB2312" w:hAnsi="Times New Roman" w:eastAsia="仿宋_GB2312" w:cs="Times New Roman"/>
              <w:sz w:val="32"/>
              <w:szCs w:val="32"/>
            </w:rPr>
            <w:t>（二）部门整体绩效目标设立情况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_Toc103542832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AA5BA61">
          <w:pPr>
            <w:pStyle w:val="7"/>
            <w:tabs>
              <w:tab w:val="right" w:leader="dot" w:pos="8296"/>
            </w:tabs>
            <w:rPr>
              <w:rFonts w:ascii="仿宋_GB2312" w:eastAsia="仿宋_GB2312"/>
              <w:sz w:val="32"/>
              <w:szCs w:val="32"/>
            </w:rPr>
          </w:pPr>
          <w:r>
            <w:fldChar w:fldCharType="begin"/>
          </w:r>
          <w:r>
            <w:instrText xml:space="preserve"> HYPERLINK \l "_Toc103542835" </w:instrText>
          </w:r>
          <w:r>
            <w:fldChar w:fldCharType="separate"/>
          </w:r>
          <w:r>
            <w:rPr>
              <w:rStyle w:val="14"/>
              <w:rFonts w:hint="eastAsia" w:ascii="仿宋_GB2312" w:hAnsi="Times New Roman" w:eastAsia="仿宋_GB2312" w:cs="Times New Roman"/>
              <w:bCs/>
              <w:sz w:val="32"/>
              <w:szCs w:val="32"/>
            </w:rPr>
            <w:t>二、当年预算执行情况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_Toc103542835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0228EBD">
          <w:pPr>
            <w:pStyle w:val="7"/>
            <w:tabs>
              <w:tab w:val="right" w:leader="dot" w:pos="8296"/>
            </w:tabs>
            <w:rPr>
              <w:rFonts w:ascii="仿宋_GB2312" w:eastAsia="仿宋_GB2312"/>
              <w:sz w:val="32"/>
              <w:szCs w:val="32"/>
            </w:rPr>
          </w:pPr>
          <w:r>
            <w:fldChar w:fldCharType="begin"/>
          </w:r>
          <w:r>
            <w:instrText xml:space="preserve"> HYPERLINK \l "_Toc103542836" </w:instrText>
          </w:r>
          <w:r>
            <w:fldChar w:fldCharType="separate"/>
          </w:r>
          <w:r>
            <w:rPr>
              <w:rStyle w:val="14"/>
              <w:rFonts w:hint="eastAsia" w:ascii="仿宋_GB2312" w:hAnsi="Times New Roman" w:eastAsia="仿宋_GB2312" w:cs="Times New Roman"/>
              <w:sz w:val="32"/>
              <w:szCs w:val="32"/>
            </w:rPr>
            <w:t>三、整体绩效目标实现情况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_Toc103542836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74B59EF2">
          <w:pPr>
            <w:pStyle w:val="8"/>
            <w:tabs>
              <w:tab w:val="right" w:leader="dot" w:pos="8296"/>
            </w:tabs>
            <w:rPr>
              <w:rFonts w:ascii="仿宋_GB2312" w:eastAsia="仿宋_GB2312"/>
              <w:sz w:val="32"/>
              <w:szCs w:val="32"/>
            </w:rPr>
          </w:pPr>
          <w:r>
            <w:fldChar w:fldCharType="begin"/>
          </w:r>
          <w:r>
            <w:instrText xml:space="preserve"> HYPERLINK \l "_Toc103542837" </w:instrText>
          </w:r>
          <w:r>
            <w:fldChar w:fldCharType="separate"/>
          </w:r>
          <w:r>
            <w:rPr>
              <w:rStyle w:val="14"/>
              <w:rFonts w:hint="eastAsia" w:ascii="仿宋_GB2312" w:hAnsi="Times New Roman" w:eastAsia="仿宋_GB2312" w:cs="Times New Roman"/>
              <w:sz w:val="32"/>
              <w:szCs w:val="32"/>
            </w:rPr>
            <w:t>（一）产出完成情况分析</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_Toc103542837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52F3B528">
          <w:pPr>
            <w:pStyle w:val="8"/>
            <w:tabs>
              <w:tab w:val="right" w:leader="dot" w:pos="8296"/>
            </w:tabs>
            <w:rPr>
              <w:rFonts w:ascii="仿宋_GB2312" w:eastAsia="仿宋_GB2312"/>
              <w:sz w:val="32"/>
              <w:szCs w:val="32"/>
            </w:rPr>
          </w:pPr>
          <w:r>
            <w:fldChar w:fldCharType="begin"/>
          </w:r>
          <w:r>
            <w:instrText xml:space="preserve"> HYPERLINK \l "_Toc103542838" </w:instrText>
          </w:r>
          <w:r>
            <w:fldChar w:fldCharType="separate"/>
          </w:r>
          <w:r>
            <w:rPr>
              <w:rStyle w:val="14"/>
              <w:rFonts w:hint="eastAsia" w:ascii="仿宋_GB2312" w:hAnsi="Times New Roman" w:eastAsia="仿宋_GB2312" w:cs="Times New Roman"/>
              <w:sz w:val="32"/>
              <w:szCs w:val="32"/>
            </w:rPr>
            <w:t>（二）效果实现情况分析</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_Toc103542838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C4D7D13">
          <w:pPr>
            <w:pStyle w:val="7"/>
            <w:tabs>
              <w:tab w:val="right" w:leader="dot" w:pos="8296"/>
            </w:tabs>
            <w:rPr>
              <w:rFonts w:ascii="仿宋_GB2312" w:eastAsia="仿宋_GB2312"/>
              <w:sz w:val="32"/>
              <w:szCs w:val="32"/>
            </w:rPr>
          </w:pPr>
          <w:r>
            <w:fldChar w:fldCharType="begin"/>
          </w:r>
          <w:r>
            <w:instrText xml:space="preserve"> HYPERLINK \l "_Toc103542841" </w:instrText>
          </w:r>
          <w:r>
            <w:fldChar w:fldCharType="separate"/>
          </w:r>
          <w:r>
            <w:rPr>
              <w:rStyle w:val="14"/>
              <w:rFonts w:hint="eastAsia" w:ascii="仿宋_GB2312" w:hAnsi="Times New Roman" w:eastAsia="仿宋_GB2312" w:cs="Times New Roman"/>
              <w:sz w:val="32"/>
              <w:szCs w:val="32"/>
            </w:rPr>
            <w:t>四、预算管理情况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_Toc103542841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2D98C205">
          <w:pPr>
            <w:pStyle w:val="8"/>
            <w:tabs>
              <w:tab w:val="right" w:leader="dot" w:pos="8296"/>
            </w:tabs>
            <w:rPr>
              <w:rFonts w:ascii="仿宋_GB2312" w:eastAsia="仿宋_GB2312"/>
              <w:sz w:val="32"/>
              <w:szCs w:val="32"/>
            </w:rPr>
          </w:pPr>
          <w:r>
            <w:fldChar w:fldCharType="begin"/>
          </w:r>
          <w:r>
            <w:instrText xml:space="preserve"> HYPERLINK \l "_Toc103542842" </w:instrText>
          </w:r>
          <w:r>
            <w:fldChar w:fldCharType="separate"/>
          </w:r>
          <w:r>
            <w:rPr>
              <w:rStyle w:val="14"/>
              <w:rFonts w:hint="eastAsia" w:ascii="仿宋_GB2312" w:hAnsi="Times New Roman" w:eastAsia="仿宋_GB2312" w:cs="Times New Roman"/>
              <w:sz w:val="32"/>
              <w:szCs w:val="32"/>
            </w:rPr>
            <w:t>（一）财务管理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_Toc103542842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0A5F351F">
          <w:pPr>
            <w:pStyle w:val="8"/>
            <w:tabs>
              <w:tab w:val="right" w:leader="dot" w:pos="8296"/>
            </w:tabs>
            <w:rPr>
              <w:rFonts w:ascii="仿宋_GB2312" w:eastAsia="仿宋_GB2312"/>
              <w:sz w:val="32"/>
              <w:szCs w:val="32"/>
            </w:rPr>
          </w:pPr>
          <w:r>
            <w:fldChar w:fldCharType="begin"/>
          </w:r>
          <w:r>
            <w:instrText xml:space="preserve"> HYPERLINK \l "_Toc103542845" </w:instrText>
          </w:r>
          <w:r>
            <w:fldChar w:fldCharType="separate"/>
          </w:r>
          <w:r>
            <w:rPr>
              <w:rStyle w:val="14"/>
              <w:rFonts w:hint="eastAsia" w:ascii="仿宋_GB2312" w:hAnsi="Times New Roman" w:eastAsia="仿宋_GB2312" w:cs="Times New Roman"/>
              <w:sz w:val="32"/>
              <w:szCs w:val="32"/>
            </w:rPr>
            <w:t>（二）资产管理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_Toc103542845 \h </w:instrText>
          </w:r>
          <w:r>
            <w:rPr>
              <w:rFonts w:hint="eastAsia" w:ascii="仿宋_GB2312" w:eastAsia="仿宋_GB2312"/>
              <w:sz w:val="32"/>
              <w:szCs w:val="32"/>
            </w:rPr>
            <w:fldChar w:fldCharType="separate"/>
          </w:r>
          <w:r>
            <w:rPr>
              <w:rFonts w:hint="eastAsia"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627DA0A4">
          <w:pPr>
            <w:pStyle w:val="8"/>
            <w:tabs>
              <w:tab w:val="right" w:leader="dot" w:pos="8296"/>
            </w:tabs>
            <w:rPr>
              <w:rFonts w:ascii="仿宋_GB2312" w:eastAsia="仿宋_GB2312"/>
              <w:sz w:val="32"/>
              <w:szCs w:val="32"/>
            </w:rPr>
          </w:pPr>
          <w:r>
            <w:fldChar w:fldCharType="begin"/>
          </w:r>
          <w:r>
            <w:instrText xml:space="preserve"> HYPERLINK \l "_Toc103542846" </w:instrText>
          </w:r>
          <w:r>
            <w:fldChar w:fldCharType="separate"/>
          </w:r>
          <w:r>
            <w:rPr>
              <w:rStyle w:val="14"/>
              <w:rFonts w:hint="eastAsia" w:ascii="仿宋_GB2312" w:hAnsi="Times New Roman" w:eastAsia="仿宋_GB2312" w:cs="Times New Roman"/>
              <w:sz w:val="32"/>
              <w:szCs w:val="32"/>
            </w:rPr>
            <w:t>（三）绩效管理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_Toc103542846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464DD10">
          <w:pPr>
            <w:pStyle w:val="8"/>
            <w:tabs>
              <w:tab w:val="right" w:leader="dot" w:pos="8296"/>
            </w:tabs>
            <w:rPr>
              <w:rFonts w:ascii="仿宋_GB2312" w:eastAsia="仿宋_GB2312"/>
              <w:sz w:val="32"/>
              <w:szCs w:val="32"/>
            </w:rPr>
          </w:pPr>
          <w:r>
            <w:fldChar w:fldCharType="begin"/>
          </w:r>
          <w:r>
            <w:instrText xml:space="preserve"> HYPERLINK \l "_Toc103542847" </w:instrText>
          </w:r>
          <w:r>
            <w:fldChar w:fldCharType="separate"/>
          </w:r>
          <w:r>
            <w:rPr>
              <w:rStyle w:val="14"/>
              <w:rFonts w:hint="eastAsia" w:ascii="仿宋_GB2312" w:hAnsi="Times New Roman" w:eastAsia="仿宋_GB2312" w:cs="Times New Roman"/>
              <w:sz w:val="32"/>
              <w:szCs w:val="32"/>
            </w:rPr>
            <w:t>（四）结转结余率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_Toc103542847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27C1A15B">
          <w:pPr>
            <w:pStyle w:val="8"/>
            <w:tabs>
              <w:tab w:val="right" w:leader="dot" w:pos="8296"/>
            </w:tabs>
            <w:rPr>
              <w:rFonts w:ascii="仿宋_GB2312" w:eastAsia="仿宋_GB2312"/>
              <w:sz w:val="32"/>
              <w:szCs w:val="32"/>
            </w:rPr>
          </w:pPr>
          <w:r>
            <w:fldChar w:fldCharType="begin"/>
          </w:r>
          <w:r>
            <w:instrText xml:space="preserve"> HYPERLINK \l "_Toc103542848" </w:instrText>
          </w:r>
          <w:r>
            <w:fldChar w:fldCharType="separate"/>
          </w:r>
          <w:r>
            <w:rPr>
              <w:rStyle w:val="14"/>
              <w:rFonts w:hint="eastAsia" w:ascii="仿宋_GB2312" w:hAnsi="Times New Roman" w:eastAsia="仿宋_GB2312" w:cs="Times New Roman"/>
              <w:sz w:val="32"/>
              <w:szCs w:val="32"/>
            </w:rPr>
            <w:t>（五）部门预决算差异率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_Toc103542848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561430E3">
          <w:pPr>
            <w:pStyle w:val="7"/>
            <w:tabs>
              <w:tab w:val="right" w:leader="dot" w:pos="8296"/>
            </w:tabs>
            <w:rPr>
              <w:rFonts w:ascii="仿宋_GB2312" w:eastAsia="仿宋_GB2312"/>
              <w:sz w:val="32"/>
              <w:szCs w:val="32"/>
            </w:rPr>
          </w:pPr>
          <w:r>
            <w:fldChar w:fldCharType="begin"/>
          </w:r>
          <w:r>
            <w:instrText xml:space="preserve"> HYPERLINK \l "_Toc103542849" </w:instrText>
          </w:r>
          <w:r>
            <w:fldChar w:fldCharType="separate"/>
          </w:r>
          <w:r>
            <w:rPr>
              <w:rStyle w:val="14"/>
              <w:rFonts w:hint="eastAsia" w:ascii="仿宋_GB2312" w:hAnsi="Times New Roman" w:eastAsia="仿宋_GB2312" w:cs="Times New Roman"/>
              <w:sz w:val="32"/>
              <w:szCs w:val="32"/>
            </w:rPr>
            <w:t>五、总体评价结论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_Toc103542849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05C523B4">
          <w:pPr>
            <w:pStyle w:val="8"/>
            <w:tabs>
              <w:tab w:val="right" w:leader="dot" w:pos="8296"/>
            </w:tabs>
            <w:rPr>
              <w:rFonts w:ascii="仿宋_GB2312" w:eastAsia="仿宋_GB2312"/>
              <w:sz w:val="32"/>
              <w:szCs w:val="32"/>
            </w:rPr>
          </w:pPr>
          <w:r>
            <w:fldChar w:fldCharType="begin"/>
          </w:r>
          <w:r>
            <w:instrText xml:space="preserve"> HYPERLINK \l "_Toc103542850" </w:instrText>
          </w:r>
          <w:r>
            <w:fldChar w:fldCharType="separate"/>
          </w:r>
          <w:r>
            <w:rPr>
              <w:rStyle w:val="14"/>
              <w:rFonts w:hint="eastAsia" w:ascii="仿宋_GB2312" w:hAnsi="Times New Roman" w:eastAsia="仿宋_GB2312" w:cs="Times New Roman"/>
              <w:sz w:val="32"/>
              <w:szCs w:val="32"/>
            </w:rPr>
            <w:t>（一）评价得分情况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_Toc103542850 \h </w:instrText>
          </w:r>
          <w:r>
            <w:rPr>
              <w:rFonts w:hint="eastAsia" w:ascii="仿宋_GB2312" w:eastAsia="仿宋_GB2312"/>
              <w:sz w:val="32"/>
              <w:szCs w:val="32"/>
            </w:rPr>
            <w:fldChar w:fldCharType="separate"/>
          </w:r>
          <w:r>
            <w:rPr>
              <w:rFonts w:hint="eastAsia"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BB6FEC2">
          <w:pPr>
            <w:pStyle w:val="8"/>
            <w:tabs>
              <w:tab w:val="right" w:leader="dot" w:pos="8296"/>
            </w:tabs>
            <w:rPr>
              <w:rFonts w:ascii="仿宋_GB2312" w:eastAsia="仿宋_GB2312"/>
              <w:sz w:val="32"/>
              <w:szCs w:val="32"/>
            </w:rPr>
          </w:pPr>
          <w:r>
            <w:fldChar w:fldCharType="begin"/>
          </w:r>
          <w:r>
            <w:instrText xml:space="preserve"> HYPERLINK \l "_Toc103542851" </w:instrText>
          </w:r>
          <w:r>
            <w:fldChar w:fldCharType="separate"/>
          </w:r>
          <w:r>
            <w:rPr>
              <w:rStyle w:val="14"/>
              <w:rFonts w:hint="eastAsia" w:ascii="仿宋_GB2312" w:hAnsi="Times New Roman" w:eastAsia="仿宋_GB2312" w:cs="Times New Roman"/>
              <w:sz w:val="32"/>
              <w:szCs w:val="32"/>
            </w:rPr>
            <w:t>（二）存在的问题及原因分析</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_Toc103542851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0F83E47">
          <w:pPr>
            <w:pStyle w:val="7"/>
            <w:tabs>
              <w:tab w:val="right" w:leader="dot" w:pos="8296"/>
            </w:tabs>
            <w:rPr>
              <w:rFonts w:ascii="仿宋_GB2312" w:eastAsia="仿宋_GB2312"/>
              <w:sz w:val="32"/>
              <w:szCs w:val="32"/>
            </w:rPr>
          </w:pPr>
          <w:r>
            <w:fldChar w:fldCharType="begin"/>
          </w:r>
          <w:r>
            <w:instrText xml:space="preserve"> HYPERLINK \l "_Toc103542852" </w:instrText>
          </w:r>
          <w:r>
            <w:fldChar w:fldCharType="separate"/>
          </w:r>
          <w:r>
            <w:rPr>
              <w:rStyle w:val="14"/>
              <w:rFonts w:hint="eastAsia" w:ascii="仿宋_GB2312" w:hAnsi="Times New Roman" w:eastAsia="仿宋_GB2312" w:cs="Times New Roman"/>
              <w:sz w:val="32"/>
              <w:szCs w:val="32"/>
            </w:rPr>
            <w:t>六、措施建议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_Toc103542852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7F0F00D">
          <w:pPr>
            <w:pStyle w:val="8"/>
            <w:tabs>
              <w:tab w:val="right" w:leader="dot" w:pos="8296"/>
            </w:tabs>
            <w:rPr>
              <w:rFonts w:ascii="仿宋_GB2312" w:eastAsia="仿宋_GB2312"/>
              <w:sz w:val="32"/>
              <w:szCs w:val="32"/>
            </w:rPr>
          </w:pPr>
          <w:r>
            <w:fldChar w:fldCharType="begin"/>
          </w:r>
          <w:r>
            <w:instrText xml:space="preserve"> HYPERLINK \l "_Toc103542853" </w:instrText>
          </w:r>
          <w:r>
            <w:fldChar w:fldCharType="separate"/>
          </w:r>
          <w:r>
            <w:rPr>
              <w:rStyle w:val="14"/>
              <w:rFonts w:hint="eastAsia" w:ascii="仿宋_GB2312" w:hAnsi="Times New Roman" w:eastAsia="仿宋_GB2312" w:cs="Times New Roman"/>
              <w:sz w:val="32"/>
              <w:szCs w:val="32"/>
            </w:rPr>
            <w:t>（一）完善部门整体绩效目标设置，进一步提升预算绩效管理意识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_Toc103542853 \h </w:instrText>
          </w:r>
          <w:r>
            <w:rPr>
              <w:rFonts w:hint="eastAsia" w:ascii="仿宋_GB2312" w:eastAsia="仿宋_GB2312"/>
              <w:sz w:val="32"/>
              <w:szCs w:val="32"/>
            </w:rPr>
            <w:fldChar w:fldCharType="separate"/>
          </w:r>
          <w:r>
            <w:rPr>
              <w:rFonts w:hint="eastAsia"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50A21289">
          <w:pPr>
            <w:pStyle w:val="8"/>
            <w:tabs>
              <w:tab w:val="right" w:leader="dot" w:pos="8296"/>
            </w:tabs>
            <w:rPr>
              <w:rFonts w:ascii="仿宋_GB2312" w:eastAsia="仿宋_GB2312"/>
              <w:sz w:val="32"/>
              <w:szCs w:val="32"/>
            </w:rPr>
          </w:pPr>
          <w:r>
            <w:fldChar w:fldCharType="begin"/>
          </w:r>
          <w:r>
            <w:instrText xml:space="preserve"> HYPERLINK \l "_Toc103542854" </w:instrText>
          </w:r>
          <w:r>
            <w:fldChar w:fldCharType="separate"/>
          </w:r>
          <w:r>
            <w:rPr>
              <w:rStyle w:val="14"/>
              <w:rFonts w:hint="eastAsia" w:ascii="仿宋_GB2312" w:hAnsi="Times New Roman" w:eastAsia="仿宋_GB2312" w:cs="Times New Roman"/>
              <w:sz w:val="32"/>
              <w:szCs w:val="32"/>
            </w:rPr>
            <w:t>（二）优化部门预算资金配置，提升项目预算执行率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_Toc103542854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495994D">
          <w:pPr>
            <w:adjustRightInd w:val="0"/>
            <w:snapToGrid w:val="0"/>
            <w:spacing w:line="360" w:lineRule="auto"/>
            <w:jc w:val="center"/>
            <w:rPr>
              <w:rFonts w:ascii="Times New Roman" w:hAnsi="Times New Roman" w:cs="Times New Roman"/>
              <w:b/>
              <w:bCs/>
              <w:lang w:val="zh-CN"/>
            </w:rPr>
          </w:pPr>
          <w:r>
            <w:rPr>
              <w:rFonts w:ascii="Times New Roman" w:hAnsi="Times New Roman" w:cs="Times New Roman"/>
              <w:bCs/>
              <w:szCs w:val="32"/>
              <w:lang w:val="zh-CN"/>
            </w:rPr>
            <w:fldChar w:fldCharType="end"/>
          </w:r>
        </w:p>
      </w:sdtContent>
    </w:sdt>
    <w:p w14:paraId="6F7D5F19">
      <w:pPr>
        <w:adjustRightInd w:val="0"/>
        <w:snapToGrid w:val="0"/>
        <w:spacing w:line="360" w:lineRule="auto"/>
        <w:jc w:val="center"/>
        <w:rPr>
          <w:rFonts w:ascii="Times New Roman" w:hAnsi="Times New Roman" w:eastAsia="华文中宋" w:cs="Times New Roman"/>
          <w:bCs/>
          <w:sz w:val="36"/>
          <w:szCs w:val="44"/>
        </w:rPr>
        <w:sectPr>
          <w:pgSz w:w="11906" w:h="16838"/>
          <w:pgMar w:top="1440" w:right="1800" w:bottom="1440" w:left="1800" w:header="851" w:footer="992" w:gutter="0"/>
          <w:cols w:space="425" w:num="1"/>
          <w:docGrid w:type="lines" w:linePitch="312" w:charSpace="0"/>
        </w:sectPr>
      </w:pPr>
    </w:p>
    <w:p w14:paraId="3A274735">
      <w:pPr>
        <w:adjustRightInd w:val="0"/>
        <w:snapToGrid w:val="0"/>
        <w:spacing w:line="360" w:lineRule="auto"/>
        <w:jc w:val="center"/>
        <w:rPr>
          <w:rFonts w:ascii="Times New Roman" w:hAnsi="Times New Roman" w:eastAsia="华文中宋" w:cs="Times New Roman"/>
          <w:bCs/>
          <w:sz w:val="36"/>
          <w:szCs w:val="44"/>
        </w:rPr>
      </w:pPr>
      <w:r>
        <w:rPr>
          <w:rFonts w:hint="eastAsia" w:ascii="Times New Roman" w:hAnsi="Times New Roman" w:eastAsia="华文中宋" w:cs="Times New Roman"/>
          <w:bCs/>
          <w:sz w:val="36"/>
          <w:szCs w:val="44"/>
          <w:lang w:eastAsia="zh-CN"/>
        </w:rPr>
        <w:t>2022</w:t>
      </w:r>
      <w:r>
        <w:rPr>
          <w:rFonts w:ascii="Times New Roman" w:hAnsi="Times New Roman" w:eastAsia="华文中宋" w:cs="Times New Roman"/>
          <w:bCs/>
          <w:sz w:val="36"/>
          <w:szCs w:val="44"/>
        </w:rPr>
        <w:t>年</w:t>
      </w:r>
      <w:r>
        <w:rPr>
          <w:rFonts w:hint="eastAsia" w:ascii="Times New Roman" w:hAnsi="Times New Roman" w:eastAsia="华文中宋" w:cs="Times New Roman"/>
          <w:bCs/>
          <w:sz w:val="36"/>
          <w:szCs w:val="44"/>
        </w:rPr>
        <w:t>北京市公安局公安交通管理局</w:t>
      </w:r>
    </w:p>
    <w:p w14:paraId="3A80E6FF">
      <w:pPr>
        <w:adjustRightInd w:val="0"/>
        <w:snapToGrid w:val="0"/>
        <w:spacing w:line="360" w:lineRule="auto"/>
        <w:jc w:val="center"/>
        <w:rPr>
          <w:rFonts w:ascii="Times New Roman" w:hAnsi="Times New Roman" w:eastAsia="华文中宋" w:cs="Times New Roman"/>
          <w:bCs/>
          <w:sz w:val="36"/>
          <w:szCs w:val="44"/>
        </w:rPr>
      </w:pPr>
      <w:r>
        <w:rPr>
          <w:rFonts w:ascii="Times New Roman" w:hAnsi="Times New Roman" w:eastAsia="华文中宋" w:cs="Times New Roman"/>
          <w:bCs/>
          <w:sz w:val="36"/>
          <w:szCs w:val="44"/>
        </w:rPr>
        <w:t>部门整体绩效</w:t>
      </w:r>
      <w:r>
        <w:rPr>
          <w:rFonts w:hint="eastAsia" w:ascii="Times New Roman" w:hAnsi="Times New Roman" w:eastAsia="华文中宋" w:cs="Times New Roman"/>
          <w:bCs/>
          <w:sz w:val="36"/>
          <w:szCs w:val="44"/>
        </w:rPr>
        <w:t>评价</w:t>
      </w:r>
      <w:r>
        <w:rPr>
          <w:rFonts w:ascii="Times New Roman" w:hAnsi="Times New Roman" w:eastAsia="华文中宋" w:cs="Times New Roman"/>
          <w:bCs/>
          <w:sz w:val="36"/>
          <w:szCs w:val="44"/>
        </w:rPr>
        <w:t>报告</w:t>
      </w:r>
    </w:p>
    <w:p w14:paraId="2D6B20AA">
      <w:pPr>
        <w:adjustRightInd w:val="0"/>
        <w:snapToGrid w:val="0"/>
        <w:spacing w:line="360" w:lineRule="auto"/>
        <w:jc w:val="center"/>
        <w:rPr>
          <w:rFonts w:ascii="Times New Roman" w:hAnsi="Times New Roman" w:eastAsia="华文中宋" w:cs="Times New Roman"/>
          <w:bCs/>
          <w:sz w:val="36"/>
          <w:szCs w:val="44"/>
        </w:rPr>
      </w:pPr>
    </w:p>
    <w:p w14:paraId="5B86FB6C">
      <w:pPr>
        <w:adjustRightInd w:val="0"/>
        <w:snapToGrid w:val="0"/>
        <w:spacing w:line="360" w:lineRule="auto"/>
        <w:ind w:firstLine="640" w:firstLineChars="200"/>
        <w:jc w:val="left"/>
        <w:outlineLvl w:val="0"/>
        <w:rPr>
          <w:rFonts w:ascii="Times New Roman" w:hAnsi="Times New Roman" w:eastAsia="黑体" w:cs="Times New Roman"/>
          <w:sz w:val="32"/>
          <w:szCs w:val="32"/>
        </w:rPr>
      </w:pPr>
      <w:bookmarkStart w:id="0" w:name="_Toc102158214"/>
      <w:bookmarkStart w:id="1" w:name="_Toc103542828"/>
      <w:r>
        <w:rPr>
          <w:rFonts w:ascii="Times New Roman" w:hAnsi="Times New Roman" w:eastAsia="黑体" w:cs="Times New Roman"/>
          <w:sz w:val="32"/>
          <w:szCs w:val="32"/>
        </w:rPr>
        <w:t>一、部门概况</w:t>
      </w:r>
      <w:bookmarkEnd w:id="0"/>
      <w:bookmarkEnd w:id="1"/>
    </w:p>
    <w:p w14:paraId="3E517A3F">
      <w:pPr>
        <w:adjustRightInd w:val="0"/>
        <w:snapToGrid w:val="0"/>
        <w:spacing w:line="360" w:lineRule="auto"/>
        <w:ind w:firstLine="640" w:firstLineChars="200"/>
        <w:outlineLvl w:val="1"/>
        <w:rPr>
          <w:rFonts w:ascii="Times New Roman" w:hAnsi="Times New Roman" w:eastAsia="楷体" w:cs="Times New Roman"/>
          <w:sz w:val="32"/>
          <w:szCs w:val="32"/>
        </w:rPr>
      </w:pPr>
      <w:bookmarkStart w:id="2" w:name="_Toc102158215"/>
      <w:bookmarkStart w:id="3" w:name="_Toc103542829"/>
      <w:r>
        <w:rPr>
          <w:rFonts w:ascii="Times New Roman" w:hAnsi="Times New Roman" w:eastAsia="楷体" w:cs="Times New Roman"/>
          <w:sz w:val="32"/>
          <w:szCs w:val="32"/>
        </w:rPr>
        <w:t>（一）机构设置及职责工作任务情况</w:t>
      </w:r>
      <w:bookmarkEnd w:id="2"/>
      <w:bookmarkEnd w:id="3"/>
    </w:p>
    <w:p w14:paraId="055C615C">
      <w:pPr>
        <w:adjustRightInd w:val="0"/>
        <w:snapToGrid w:val="0"/>
        <w:spacing w:line="360" w:lineRule="auto"/>
        <w:ind w:firstLine="640" w:firstLineChars="200"/>
        <w:outlineLvl w:val="2"/>
        <w:rPr>
          <w:rFonts w:ascii="Times New Roman" w:hAnsi="Times New Roman" w:eastAsia="仿宋_GB2312" w:cs="Times New Roman"/>
          <w:bCs/>
          <w:sz w:val="32"/>
          <w:szCs w:val="32"/>
        </w:rPr>
      </w:pPr>
      <w:bookmarkStart w:id="4" w:name="_Toc72438997"/>
      <w:bookmarkStart w:id="5" w:name="_Toc72438576"/>
      <w:bookmarkStart w:id="6" w:name="_Toc102140635"/>
      <w:bookmarkStart w:id="7" w:name="_Toc103542830"/>
      <w:bookmarkStart w:id="8" w:name="_Toc102158216"/>
      <w:r>
        <w:rPr>
          <w:rFonts w:ascii="Times New Roman" w:hAnsi="Times New Roman" w:eastAsia="仿宋_GB2312" w:cs="Times New Roman"/>
          <w:bCs/>
          <w:sz w:val="32"/>
          <w:szCs w:val="32"/>
        </w:rPr>
        <w:t>1.</w:t>
      </w:r>
      <w:bookmarkEnd w:id="4"/>
      <w:bookmarkEnd w:id="5"/>
      <w:r>
        <w:rPr>
          <w:rFonts w:ascii="Times New Roman" w:hAnsi="Times New Roman" w:eastAsia="仿宋_GB2312" w:cs="Times New Roman"/>
          <w:bCs/>
          <w:sz w:val="32"/>
          <w:szCs w:val="32"/>
        </w:rPr>
        <w:t>部门职责、机构设置及人员情况</w:t>
      </w:r>
      <w:bookmarkEnd w:id="6"/>
      <w:bookmarkEnd w:id="7"/>
      <w:bookmarkEnd w:id="8"/>
    </w:p>
    <w:p w14:paraId="4C695BE6">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北京市公安局公安交通管理局（简称“市</w:t>
      </w:r>
      <w:r>
        <w:rPr>
          <w:rFonts w:hint="eastAsia" w:ascii="Times New Roman" w:hAnsi="Times New Roman" w:eastAsia="仿宋_GB2312" w:cs="Times New Roman"/>
          <w:bCs/>
          <w:sz w:val="32"/>
          <w:szCs w:val="32"/>
          <w:lang w:eastAsia="zh-CN"/>
        </w:rPr>
        <w:t>公安交管局</w:t>
      </w:r>
      <w:r>
        <w:rPr>
          <w:rFonts w:hint="eastAsia" w:ascii="Times New Roman" w:hAnsi="Times New Roman" w:eastAsia="仿宋_GB2312" w:cs="Times New Roman"/>
          <w:bCs/>
          <w:sz w:val="32"/>
          <w:szCs w:val="32"/>
        </w:rPr>
        <w:t>”）是全市道路交通安全的主管机关，下设16个职能部门，直管东城、西城、朝阳、海淀、丰台、石景山、房山、通州、昌平等交通支队和开发区交通大队，并负责指导门头沟、大兴、顺义、怀柔、平谷、机场、密云、延庆等非直管交通支、大队和清河分局交通大队的业务工作。承担的主要职责如下</w:t>
      </w:r>
      <w:r>
        <w:rPr>
          <w:rFonts w:ascii="Times New Roman" w:hAnsi="Times New Roman" w:eastAsia="仿宋_GB2312" w:cs="Times New Roman"/>
          <w:bCs/>
          <w:sz w:val="32"/>
          <w:szCs w:val="32"/>
        </w:rPr>
        <w:t>：</w:t>
      </w:r>
    </w:p>
    <w:p w14:paraId="24D0B8CC">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（1）负责维护疏导路面交通秩序；依法纠正处罚各类交通违法行为；办理各类机动车通行证件；</w:t>
      </w:r>
    </w:p>
    <w:p w14:paraId="55BC318D">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（2）负责重大国事外事活动、重要首脑外宾的交通安全保卫；</w:t>
      </w:r>
    </w:p>
    <w:p w14:paraId="4B8D9889">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（3）负责全市地方（含外事机构、外籍人员）机动车和驾驶员管理；</w:t>
      </w:r>
    </w:p>
    <w:p w14:paraId="1250018F">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（4）负责开展交通安全宣传教育；监督、检查社会各单位履行交通安全责任情况；</w:t>
      </w:r>
    </w:p>
    <w:p w14:paraId="719699F4">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（5）负责道路交通事故处理；查缉交通肇事逃逸案件；</w:t>
      </w:r>
    </w:p>
    <w:p w14:paraId="567DE209">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（6）负责起草道路、交通管理方面的地方性法规、规章；监督、检查交通民警执法行为；行政复议应诉、行政诉讼工作；</w:t>
      </w:r>
    </w:p>
    <w:p w14:paraId="3A4CE2A3">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（7）负责开发应用智能交通科学技术，规划设置和维护管理城市道路交通标志设施；</w:t>
      </w:r>
    </w:p>
    <w:p w14:paraId="455C3742">
      <w:pPr>
        <w:pStyle w:val="9"/>
        <w:shd w:val="clear" w:color="auto" w:fill="FFFFFF"/>
        <w:adjustRightInd w:val="0"/>
        <w:snapToGrid w:val="0"/>
        <w:spacing w:before="0" w:beforeAutospacing="0" w:after="0" w:afterAutospacing="0" w:line="360" w:lineRule="auto"/>
        <w:ind w:firstLine="640" w:firstLineChars="200"/>
        <w:jc w:val="both"/>
        <w:rPr>
          <w:rFonts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rPr>
        <w:t>（8）负责承办市委、市政府、公安部和市公安局交办的其他工作事项。</w:t>
      </w:r>
    </w:p>
    <w:p w14:paraId="3C213D39">
      <w:pPr>
        <w:adjustRightInd w:val="0"/>
        <w:snapToGrid w:val="0"/>
        <w:spacing w:line="360" w:lineRule="auto"/>
        <w:ind w:firstLine="640" w:firstLineChars="200"/>
        <w:rPr>
          <w:rFonts w:ascii="Times New Roman" w:hAnsi="Times New Roman" w:eastAsia="仿宋_GB2312" w:cs="Times New Roman"/>
          <w:color w:val="FF0000"/>
          <w:sz w:val="32"/>
          <w:szCs w:val="32"/>
          <w:highlight w:val="none"/>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hint="eastAsia" w:ascii="Times New Roman" w:hAnsi="Times New Roman" w:eastAsia="仿宋_GB2312" w:cs="Times New Roman"/>
          <w:sz w:val="32"/>
          <w:szCs w:val="32"/>
          <w:highlight w:val="none"/>
          <w:lang w:eastAsia="zh-CN"/>
        </w:rPr>
        <w:t>2022</w:t>
      </w:r>
      <w:r>
        <w:rPr>
          <w:rFonts w:ascii="Times New Roman" w:hAnsi="Times New Roman" w:eastAsia="仿宋_GB2312" w:cs="Times New Roman"/>
          <w:sz w:val="32"/>
          <w:szCs w:val="32"/>
          <w:highlight w:val="none"/>
        </w:rPr>
        <w:t>年部门年末实有人数共计5</w:t>
      </w:r>
      <w:r>
        <w:rPr>
          <w:rFonts w:hint="eastAsia" w:ascii="Times New Roman" w:hAnsi="Times New Roman" w:eastAsia="仿宋_GB2312" w:cs="Times New Roman"/>
          <w:sz w:val="32"/>
          <w:szCs w:val="32"/>
          <w:highlight w:val="none"/>
          <w:lang w:val="en-US" w:eastAsia="zh-CN"/>
        </w:rPr>
        <w:t>510</w:t>
      </w:r>
      <w:r>
        <w:rPr>
          <w:rFonts w:ascii="Times New Roman" w:hAnsi="Times New Roman" w:eastAsia="仿宋_GB2312" w:cs="Times New Roman"/>
          <w:sz w:val="32"/>
          <w:szCs w:val="32"/>
          <w:highlight w:val="none"/>
        </w:rPr>
        <w:t>人，其中</w:t>
      </w:r>
      <w:r>
        <w:rPr>
          <w:rFonts w:hint="eastAsia" w:ascii="Times New Roman" w:hAnsi="Times New Roman" w:eastAsia="仿宋_GB2312" w:cs="Times New Roman"/>
          <w:sz w:val="32"/>
          <w:szCs w:val="32"/>
          <w:highlight w:val="none"/>
        </w:rPr>
        <w:t>在职人员5</w:t>
      </w:r>
      <w:r>
        <w:rPr>
          <w:rFonts w:hint="eastAsia" w:ascii="Times New Roman" w:hAnsi="Times New Roman" w:eastAsia="仿宋_GB2312" w:cs="Times New Roman"/>
          <w:sz w:val="32"/>
          <w:szCs w:val="32"/>
          <w:highlight w:val="none"/>
          <w:lang w:val="en-US" w:eastAsia="zh-CN"/>
        </w:rPr>
        <w:t>500</w:t>
      </w:r>
      <w:r>
        <w:rPr>
          <w:rFonts w:hint="eastAsia" w:ascii="Times New Roman" w:hAnsi="Times New Roman" w:eastAsia="仿宋_GB2312" w:cs="Times New Roman"/>
          <w:sz w:val="32"/>
          <w:szCs w:val="32"/>
          <w:highlight w:val="none"/>
        </w:rPr>
        <w:t>人，离休人员1</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人</w:t>
      </w:r>
      <w:r>
        <w:rPr>
          <w:rFonts w:ascii="Times New Roman" w:hAnsi="Times New Roman" w:eastAsia="仿宋_GB2312" w:cs="Times New Roman"/>
          <w:sz w:val="32"/>
          <w:szCs w:val="32"/>
          <w:highlight w:val="none"/>
        </w:rPr>
        <w:t>。</w:t>
      </w:r>
    </w:p>
    <w:p w14:paraId="0DA2874D">
      <w:pPr>
        <w:adjustRightInd w:val="0"/>
        <w:snapToGrid w:val="0"/>
        <w:spacing w:line="360" w:lineRule="auto"/>
        <w:ind w:firstLine="640" w:firstLineChars="200"/>
        <w:outlineLvl w:val="2"/>
        <w:rPr>
          <w:rFonts w:ascii="Times New Roman" w:hAnsi="Times New Roman" w:eastAsia="仿宋_GB2312" w:cs="Times New Roman"/>
          <w:bCs/>
          <w:sz w:val="32"/>
          <w:szCs w:val="32"/>
        </w:rPr>
      </w:pPr>
      <w:bookmarkStart w:id="9" w:name="_Toc72438998"/>
      <w:bookmarkStart w:id="10" w:name="_Toc72438577"/>
      <w:bookmarkStart w:id="11" w:name="_Toc103542831"/>
      <w:bookmarkStart w:id="12" w:name="_Toc102158217"/>
      <w:bookmarkStart w:id="13" w:name="_Toc102140636"/>
      <w:r>
        <w:rPr>
          <w:rFonts w:ascii="Times New Roman" w:hAnsi="Times New Roman" w:eastAsia="仿宋_GB2312" w:cs="Times New Roman"/>
          <w:bCs/>
          <w:sz w:val="32"/>
          <w:szCs w:val="32"/>
        </w:rPr>
        <w:t>2.</w:t>
      </w:r>
      <w:bookmarkEnd w:id="9"/>
      <w:bookmarkEnd w:id="10"/>
      <w:r>
        <w:rPr>
          <w:rFonts w:hint="eastAsia" w:ascii="Times New Roman" w:hAnsi="Times New Roman" w:eastAsia="仿宋_GB2312" w:cs="Times New Roman"/>
          <w:bCs/>
          <w:sz w:val="32"/>
          <w:szCs w:val="32"/>
        </w:rPr>
        <w:t>工作任务情况</w:t>
      </w:r>
      <w:bookmarkEnd w:id="11"/>
      <w:bookmarkEnd w:id="12"/>
      <w:bookmarkEnd w:id="13"/>
    </w:p>
    <w:p w14:paraId="4B437C3C">
      <w:pPr>
        <w:adjustRightInd w:val="0"/>
        <w:snapToGrid w:val="0"/>
        <w:spacing w:line="360" w:lineRule="auto"/>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hint="eastAsia" w:ascii="Times New Roman" w:hAnsi="Times New Roman" w:eastAsia="仿宋_GB2312" w:cs="Times New Roman"/>
          <w:bCs/>
          <w:sz w:val="32"/>
          <w:szCs w:val="32"/>
        </w:rPr>
        <w:t>制定了</w:t>
      </w:r>
      <w:r>
        <w:rPr>
          <w:rFonts w:hint="eastAsia" w:ascii="Times New Roman" w:hAnsi="Times New Roman" w:eastAsia="仿宋_GB2312" w:cs="Times New Roman"/>
          <w:bCs/>
          <w:sz w:val="32"/>
          <w:szCs w:val="32"/>
          <w:lang w:eastAsia="zh-CN"/>
        </w:rPr>
        <w:t>2022</w:t>
      </w:r>
      <w:r>
        <w:rPr>
          <w:rFonts w:hint="eastAsia" w:ascii="Times New Roman" w:hAnsi="Times New Roman" w:eastAsia="仿宋_GB2312" w:cs="Times New Roman"/>
          <w:bCs/>
          <w:sz w:val="32"/>
          <w:szCs w:val="32"/>
        </w:rPr>
        <w:t>年工作任务计划，围绕维护首都安全、构建规范化保障体系、共建共治共享、构建智能化应用体系、构建优质化服务体系、培育队伍内生动力等方面制定了工作重点，具体内容如下</w:t>
      </w:r>
      <w:r>
        <w:rPr>
          <w:rFonts w:hint="eastAsia" w:ascii="Times New Roman" w:hAnsi="Times New Roman" w:eastAsia="仿宋_GB2312" w:cs="Times New Roman"/>
          <w:bCs/>
          <w:sz w:val="32"/>
          <w:szCs w:val="32"/>
          <w:lang w:val="en-US" w:eastAsia="zh-CN"/>
        </w:rPr>
        <w:t>表</w:t>
      </w:r>
      <w:r>
        <w:rPr>
          <w:rFonts w:hint="eastAsia" w:ascii="Times New Roman" w:hAnsi="Times New Roman" w:eastAsia="仿宋_GB2312" w:cs="Times New Roman"/>
          <w:bCs/>
          <w:sz w:val="32"/>
          <w:szCs w:val="32"/>
        </w:rPr>
        <w:t>：</w:t>
      </w:r>
    </w:p>
    <w:p w14:paraId="725F6204">
      <w:pPr>
        <w:adjustRightInd w:val="0"/>
        <w:snapToGrid w:val="0"/>
        <w:spacing w:line="360" w:lineRule="auto"/>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表1：</w:t>
      </w:r>
      <w:r>
        <w:rPr>
          <w:rFonts w:hint="eastAsia" w:ascii="Times New Roman" w:hAnsi="Times New Roman" w:eastAsia="黑体" w:cs="Times New Roman"/>
          <w:color w:val="000000"/>
          <w:sz w:val="28"/>
          <w:szCs w:val="28"/>
          <w:lang w:eastAsia="zh-CN"/>
        </w:rPr>
        <w:t>市公安交管局2022</w:t>
      </w:r>
      <w:r>
        <w:rPr>
          <w:rFonts w:hint="eastAsia" w:ascii="Times New Roman" w:hAnsi="Times New Roman" w:eastAsia="黑体" w:cs="Times New Roman"/>
          <w:color w:val="000000"/>
          <w:sz w:val="28"/>
          <w:szCs w:val="28"/>
        </w:rPr>
        <w:t>年度部门重点工作任务</w:t>
      </w:r>
    </w:p>
    <w:tbl>
      <w:tblPr>
        <w:tblStyle w:val="11"/>
        <w:tblW w:w="9129" w:type="dxa"/>
        <w:tblInd w:w="0" w:type="dxa"/>
        <w:tblLayout w:type="fixed"/>
        <w:tblCellMar>
          <w:top w:w="0" w:type="dxa"/>
          <w:left w:w="108" w:type="dxa"/>
          <w:bottom w:w="0" w:type="dxa"/>
          <w:right w:w="108" w:type="dxa"/>
        </w:tblCellMar>
      </w:tblPr>
      <w:tblGrid>
        <w:gridCol w:w="687"/>
        <w:gridCol w:w="3143"/>
        <w:gridCol w:w="5299"/>
      </w:tblGrid>
      <w:tr w14:paraId="3BBEB8CE">
        <w:tblPrEx>
          <w:tblCellMar>
            <w:top w:w="0" w:type="dxa"/>
            <w:left w:w="108" w:type="dxa"/>
            <w:bottom w:w="0" w:type="dxa"/>
            <w:right w:w="108" w:type="dxa"/>
          </w:tblCellMar>
        </w:tblPrEx>
        <w:trPr>
          <w:cantSplit/>
          <w:trHeight w:val="454" w:hRule="atLeast"/>
          <w:tblHead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9AD">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序号</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1A1">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工作任务</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44BC">
            <w:pPr>
              <w:widowControl/>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主要内容</w:t>
            </w:r>
          </w:p>
        </w:tc>
      </w:tr>
      <w:tr w14:paraId="5E3EC0A9">
        <w:tblPrEx>
          <w:tblCellMar>
            <w:top w:w="0" w:type="dxa"/>
            <w:left w:w="108" w:type="dxa"/>
            <w:bottom w:w="0" w:type="dxa"/>
            <w:right w:w="108" w:type="dxa"/>
          </w:tblCellMar>
        </w:tblPrEx>
        <w:trPr>
          <w:cantSplit/>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2D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88BD">
            <w:pPr>
              <w:widowControl/>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坚持最高标准，努力实现交通安保提档升级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F9FF">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w:t>
            </w:r>
            <w:r>
              <w:rPr>
                <w:rFonts w:hint="eastAsia" w:ascii="Times New Roman" w:hAnsi="Times New Roman" w:eastAsia="宋体" w:cs="Times New Roman"/>
                <w:color w:val="000000"/>
                <w:sz w:val="20"/>
                <w:szCs w:val="20"/>
                <w:lang w:val="en-US" w:eastAsia="zh-CN"/>
              </w:rPr>
              <w:t>）决战决胜冬奥安保</w:t>
            </w:r>
          </w:p>
          <w:p w14:paraId="669E2B81">
            <w:pPr>
              <w:widowControl/>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lang w:eastAsia="zh-CN"/>
              </w:rPr>
              <w:t>全力保障全国两会等安保</w:t>
            </w:r>
          </w:p>
        </w:tc>
      </w:tr>
      <w:tr w14:paraId="4655A4B8">
        <w:tblPrEx>
          <w:tblCellMar>
            <w:top w:w="0" w:type="dxa"/>
            <w:left w:w="108" w:type="dxa"/>
            <w:bottom w:w="0" w:type="dxa"/>
            <w:right w:w="108" w:type="dxa"/>
          </w:tblCellMar>
        </w:tblPrEx>
        <w:trPr>
          <w:cantSplit/>
          <w:trHeight w:val="120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8A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84BE">
            <w:pPr>
              <w:widowControl/>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坚持多管齐下，努力实现交通环境提档升级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8446">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（1）严格路面管控</w:t>
            </w:r>
          </w:p>
          <w:p w14:paraId="353E6160">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（2）推动综合治理</w:t>
            </w:r>
          </w:p>
          <w:p w14:paraId="475BC631">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val="en-US" w:eastAsia="zh-CN"/>
              </w:rPr>
              <w:t>3</w:t>
            </w:r>
            <w:r>
              <w:rPr>
                <w:rFonts w:hint="eastAsia" w:ascii="Times New Roman" w:hAnsi="Times New Roman" w:eastAsia="宋体" w:cs="Times New Roman"/>
                <w:color w:val="000000"/>
                <w:sz w:val="20"/>
                <w:szCs w:val="20"/>
              </w:rPr>
              <w:t>）加强安全管理</w:t>
            </w:r>
          </w:p>
          <w:p w14:paraId="75737C23">
            <w:pPr>
              <w:widowControl/>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4</w:t>
            </w:r>
            <w:r>
              <w:rPr>
                <w:rFonts w:hint="eastAsia" w:ascii="Times New Roman" w:hAnsi="Times New Roman" w:eastAsia="宋体" w:cs="Times New Roman"/>
                <w:color w:val="000000"/>
                <w:sz w:val="20"/>
                <w:szCs w:val="20"/>
                <w:lang w:eastAsia="zh-CN"/>
              </w:rPr>
              <w:t>）强化宣传引导</w:t>
            </w:r>
          </w:p>
        </w:tc>
      </w:tr>
      <w:tr w14:paraId="4B76699E">
        <w:tblPrEx>
          <w:tblCellMar>
            <w:top w:w="0" w:type="dxa"/>
            <w:left w:w="108" w:type="dxa"/>
            <w:bottom w:w="0" w:type="dxa"/>
            <w:right w:w="108" w:type="dxa"/>
          </w:tblCellMar>
        </w:tblPrEx>
        <w:trPr>
          <w:cantSplit/>
          <w:trHeight w:val="116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17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2F0F">
            <w:pPr>
              <w:widowControl/>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突出精耕细作，努力实现基础建设提档升级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0FE">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（1）规范交通设施管理</w:t>
            </w:r>
          </w:p>
          <w:p w14:paraId="0A247DA3">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（2）加强科技设备管理</w:t>
            </w:r>
          </w:p>
          <w:p w14:paraId="76209587">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（3）加快信号系统升级</w:t>
            </w:r>
          </w:p>
          <w:p w14:paraId="61E4AC3D">
            <w:pPr>
              <w:widowControl/>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4</w:t>
            </w:r>
            <w:r>
              <w:rPr>
                <w:rFonts w:hint="eastAsia" w:ascii="Times New Roman" w:hAnsi="Times New Roman" w:eastAsia="宋体" w:cs="Times New Roman"/>
                <w:color w:val="000000"/>
                <w:sz w:val="20"/>
                <w:szCs w:val="20"/>
                <w:lang w:eastAsia="zh-CN"/>
              </w:rPr>
              <w:t>）推进慢行系统改造</w:t>
            </w:r>
          </w:p>
        </w:tc>
      </w:tr>
      <w:tr w14:paraId="6F373B89">
        <w:tblPrEx>
          <w:tblCellMar>
            <w:top w:w="0" w:type="dxa"/>
            <w:left w:w="108" w:type="dxa"/>
            <w:bottom w:w="0" w:type="dxa"/>
            <w:right w:w="108" w:type="dxa"/>
          </w:tblCellMar>
        </w:tblPrEx>
        <w:trPr>
          <w:cantSplit/>
          <w:trHeight w:val="9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BB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81F2">
            <w:pPr>
              <w:widowControl/>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深化改革强警，努力实现警务效能提档升级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8C3">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（1）优化指挥体系</w:t>
            </w:r>
          </w:p>
          <w:p w14:paraId="3201F16F">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（2）深化科技应用</w:t>
            </w:r>
          </w:p>
          <w:p w14:paraId="62C04C7E">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（3）改革警务机制</w:t>
            </w:r>
          </w:p>
        </w:tc>
      </w:tr>
      <w:tr w14:paraId="62BAF305">
        <w:tblPrEx>
          <w:tblCellMar>
            <w:top w:w="0" w:type="dxa"/>
            <w:left w:w="108" w:type="dxa"/>
            <w:bottom w:w="0" w:type="dxa"/>
            <w:right w:w="108" w:type="dxa"/>
          </w:tblCellMar>
        </w:tblPrEx>
        <w:trPr>
          <w:cantSplit/>
          <w:trHeight w:val="9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76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E20E">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聚焦民生民意，努力实现交管服务提档升级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DBB">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（1）推广便民利企措施</w:t>
            </w:r>
          </w:p>
          <w:p w14:paraId="4CF68E66">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（2）提升群众办事体验</w:t>
            </w:r>
          </w:p>
          <w:p w14:paraId="2665F1A6">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（3）深化民意诉求办理</w:t>
            </w:r>
          </w:p>
        </w:tc>
      </w:tr>
      <w:tr w14:paraId="3106B33F">
        <w:tblPrEx>
          <w:tblCellMar>
            <w:top w:w="0" w:type="dxa"/>
            <w:left w:w="108" w:type="dxa"/>
            <w:bottom w:w="0" w:type="dxa"/>
            <w:right w:w="108" w:type="dxa"/>
          </w:tblCellMar>
        </w:tblPrEx>
        <w:trPr>
          <w:cantSplit/>
          <w:trHeight w:val="131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38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6CB">
            <w:pPr>
              <w:widowControl/>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坚持严管厚爱，努力实现队伍管理提档升级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57A">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（1）着力筑牢忠诚警魂</w:t>
            </w:r>
          </w:p>
          <w:p w14:paraId="1B7D0F17">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（2）深化从严管党治警</w:t>
            </w:r>
          </w:p>
          <w:p w14:paraId="4684DBC2">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（3）加大人才</w:t>
            </w:r>
            <w:bookmarkStart w:id="86" w:name="_GoBack"/>
            <w:bookmarkEnd w:id="86"/>
            <w:r>
              <w:rPr>
                <w:rFonts w:hint="eastAsia" w:ascii="Times New Roman" w:hAnsi="Times New Roman" w:eastAsia="宋体" w:cs="Times New Roman"/>
                <w:color w:val="000000"/>
                <w:sz w:val="20"/>
                <w:szCs w:val="20"/>
                <w:lang w:eastAsia="zh-CN"/>
              </w:rPr>
              <w:t>选拔</w:t>
            </w:r>
            <w:r>
              <w:rPr>
                <w:rFonts w:hint="eastAsia" w:ascii="Times New Roman" w:hAnsi="Times New Roman" w:eastAsia="宋体" w:cs="Times New Roman"/>
                <w:color w:val="000000"/>
                <w:sz w:val="20"/>
                <w:szCs w:val="20"/>
              </w:rPr>
              <w:t>培养</w:t>
            </w:r>
          </w:p>
          <w:p w14:paraId="68D0332E">
            <w:pPr>
              <w:widowControl/>
              <w:textAlignment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（4）强化队伍管理增效</w:t>
            </w:r>
          </w:p>
          <w:p w14:paraId="2B562A66">
            <w:pPr>
              <w:widowControl/>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）细化队伍保障措施</w:t>
            </w:r>
          </w:p>
        </w:tc>
      </w:tr>
    </w:tbl>
    <w:p w14:paraId="3E9E9F01">
      <w:pPr>
        <w:adjustRightInd w:val="0"/>
        <w:snapToGrid w:val="0"/>
        <w:spacing w:line="360" w:lineRule="auto"/>
        <w:ind w:firstLine="640" w:firstLineChars="200"/>
        <w:outlineLvl w:val="1"/>
        <w:rPr>
          <w:rFonts w:ascii="Times New Roman" w:hAnsi="Times New Roman" w:eastAsia="楷体" w:cs="Times New Roman"/>
          <w:sz w:val="32"/>
          <w:szCs w:val="32"/>
        </w:rPr>
      </w:pPr>
      <w:bookmarkStart w:id="14" w:name="_Toc102158218"/>
      <w:bookmarkStart w:id="15" w:name="_Toc103542832"/>
      <w:r>
        <w:rPr>
          <w:rFonts w:ascii="Times New Roman" w:hAnsi="Times New Roman" w:eastAsia="楷体" w:cs="Times New Roman"/>
          <w:sz w:val="32"/>
          <w:szCs w:val="32"/>
        </w:rPr>
        <w:t>（二）部门整体绩效目标设立情况</w:t>
      </w:r>
      <w:bookmarkEnd w:id="14"/>
      <w:bookmarkEnd w:id="15"/>
    </w:p>
    <w:p w14:paraId="414142E5">
      <w:pPr>
        <w:adjustRightInd w:val="0"/>
        <w:snapToGrid w:val="0"/>
        <w:spacing w:line="360" w:lineRule="auto"/>
        <w:ind w:firstLine="640" w:firstLineChars="200"/>
        <w:outlineLvl w:val="2"/>
        <w:rPr>
          <w:rFonts w:ascii="Times New Roman" w:hAnsi="Times New Roman" w:eastAsia="仿宋_GB2312" w:cs="Times New Roman"/>
          <w:bCs/>
          <w:sz w:val="32"/>
          <w:szCs w:val="32"/>
        </w:rPr>
      </w:pPr>
      <w:bookmarkStart w:id="16" w:name="_Toc72439000"/>
      <w:bookmarkStart w:id="17" w:name="_Toc102140638"/>
      <w:bookmarkStart w:id="18" w:name="_Toc72438579"/>
      <w:bookmarkStart w:id="19" w:name="_Toc103542833"/>
      <w:bookmarkStart w:id="20" w:name="_Toc102158219"/>
      <w:r>
        <w:rPr>
          <w:rFonts w:ascii="Times New Roman" w:hAnsi="Times New Roman" w:eastAsia="仿宋_GB2312" w:cs="Times New Roman"/>
          <w:bCs/>
          <w:sz w:val="32"/>
          <w:szCs w:val="32"/>
        </w:rPr>
        <w:t>1.绩效目标与职责任务匹配性</w:t>
      </w:r>
      <w:bookmarkEnd w:id="16"/>
      <w:bookmarkEnd w:id="17"/>
      <w:bookmarkEnd w:id="18"/>
      <w:bookmarkEnd w:id="19"/>
      <w:bookmarkEnd w:id="20"/>
    </w:p>
    <w:p w14:paraId="2EA33B39">
      <w:pPr>
        <w:adjustRightInd w:val="0"/>
        <w:snapToGrid w:val="0"/>
        <w:spacing w:line="360" w:lineRule="auto"/>
        <w:ind w:firstLine="640" w:firstLineChars="200"/>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公安交管局2022</w:t>
      </w:r>
      <w:r>
        <w:rPr>
          <w:rFonts w:ascii="Times New Roman" w:hAnsi="Times New Roman" w:eastAsia="仿宋_GB2312" w:cs="Times New Roman"/>
          <w:bCs/>
          <w:sz w:val="32"/>
          <w:szCs w:val="32"/>
        </w:rPr>
        <w:t>年度部门整体绩效目标围绕部门职能及</w:t>
      </w:r>
      <w:r>
        <w:rPr>
          <w:rFonts w:hint="eastAsia" w:ascii="Times New Roman" w:hAnsi="Times New Roman" w:eastAsia="仿宋_GB2312" w:cs="Times New Roman"/>
          <w:bCs/>
          <w:sz w:val="32"/>
          <w:szCs w:val="32"/>
          <w:lang w:eastAsia="zh-CN"/>
        </w:rPr>
        <w:t>2022</w:t>
      </w:r>
      <w:r>
        <w:rPr>
          <w:rFonts w:ascii="Times New Roman" w:hAnsi="Times New Roman" w:eastAsia="仿宋_GB2312" w:cs="Times New Roman"/>
          <w:bCs/>
          <w:sz w:val="32"/>
          <w:szCs w:val="32"/>
        </w:rPr>
        <w:t>年度工作计划设置，部门</w:t>
      </w:r>
      <w:r>
        <w:rPr>
          <w:rFonts w:ascii="Times New Roman" w:hAnsi="Times New Roman" w:eastAsia="仿宋_GB2312" w:cs="Times New Roman"/>
          <w:sz w:val="32"/>
          <w:szCs w:val="32"/>
        </w:rPr>
        <w:t>整体绩效目标设置与单位职责履行、年度工作任务较为相符，绩效目标与部门职责及年度重点工作匹配情况如下</w:t>
      </w:r>
      <w:r>
        <w:rPr>
          <w:rFonts w:hint="eastAsia" w:ascii="Times New Roman" w:hAnsi="Times New Roman" w:eastAsia="仿宋_GB2312" w:cs="Times New Roman"/>
          <w:sz w:val="32"/>
          <w:szCs w:val="32"/>
          <w:lang w:val="en-US" w:eastAsia="zh-CN"/>
        </w:rPr>
        <w:t>表</w:t>
      </w:r>
      <w:r>
        <w:rPr>
          <w:rFonts w:ascii="Times New Roman" w:hAnsi="Times New Roman" w:eastAsia="仿宋_GB2312" w:cs="Times New Roman"/>
          <w:sz w:val="32"/>
          <w:szCs w:val="32"/>
        </w:rPr>
        <w:t>：</w:t>
      </w:r>
    </w:p>
    <w:p w14:paraId="408C0083">
      <w:pPr>
        <w:adjustRightInd w:val="0"/>
        <w:snapToGrid w:val="0"/>
        <w:spacing w:line="360" w:lineRule="auto"/>
        <w:jc w:val="center"/>
        <w:rPr>
          <w:rFonts w:ascii="Times New Roman" w:hAnsi="Times New Roman" w:eastAsia="仿宋_GB2312" w:cs="Times New Roman"/>
          <w:bCs/>
          <w:sz w:val="32"/>
          <w:szCs w:val="32"/>
        </w:rPr>
      </w:pPr>
      <w:r>
        <w:rPr>
          <w:rFonts w:ascii="Times New Roman" w:hAnsi="Times New Roman" w:eastAsia="黑体" w:cs="Times New Roman"/>
          <w:color w:val="000000"/>
          <w:sz w:val="28"/>
          <w:szCs w:val="28"/>
        </w:rPr>
        <w:t>表2：</w:t>
      </w:r>
      <w:r>
        <w:rPr>
          <w:rFonts w:hint="eastAsia" w:ascii="Times New Roman" w:hAnsi="Times New Roman" w:eastAsia="黑体" w:cs="Times New Roman"/>
          <w:color w:val="000000"/>
          <w:sz w:val="28"/>
          <w:szCs w:val="28"/>
          <w:lang w:eastAsia="zh-CN"/>
        </w:rPr>
        <w:t>2022</w:t>
      </w:r>
      <w:r>
        <w:rPr>
          <w:rFonts w:ascii="Times New Roman" w:hAnsi="Times New Roman" w:eastAsia="黑体" w:cs="Times New Roman"/>
          <w:color w:val="000000"/>
          <w:sz w:val="28"/>
          <w:szCs w:val="28"/>
        </w:rPr>
        <w:t>年部门整体绩效目标与职责及年度任务对应情况</w:t>
      </w:r>
    </w:p>
    <w:tbl>
      <w:tblPr>
        <w:tblStyle w:val="1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014"/>
        <w:gridCol w:w="4643"/>
      </w:tblGrid>
      <w:tr w14:paraId="54A1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2316" w:type="dxa"/>
            <w:vAlign w:val="center"/>
          </w:tcPr>
          <w:p w14:paraId="45423548">
            <w:pPr>
              <w:jc w:val="center"/>
              <w:rPr>
                <w:rFonts w:ascii="Times New Roman" w:hAnsi="Times New Roman" w:cs="Times New Roman"/>
                <w:b/>
                <w:bCs/>
                <w:sz w:val="20"/>
                <w:szCs w:val="20"/>
              </w:rPr>
            </w:pPr>
            <w:r>
              <w:rPr>
                <w:rFonts w:ascii="Times New Roman" w:hAnsi="Times New Roman" w:cs="Times New Roman"/>
                <w:b/>
                <w:bCs/>
                <w:sz w:val="20"/>
                <w:szCs w:val="20"/>
              </w:rPr>
              <w:t>职责</w:t>
            </w:r>
          </w:p>
        </w:tc>
        <w:tc>
          <w:tcPr>
            <w:tcW w:w="2014" w:type="dxa"/>
            <w:vAlign w:val="center"/>
          </w:tcPr>
          <w:p w14:paraId="7622DA3E">
            <w:pPr>
              <w:jc w:val="center"/>
              <w:rPr>
                <w:rFonts w:ascii="Times New Roman" w:hAnsi="Times New Roman" w:cs="Times New Roman"/>
                <w:b/>
                <w:bCs/>
                <w:sz w:val="20"/>
                <w:szCs w:val="20"/>
              </w:rPr>
            </w:pPr>
            <w:r>
              <w:rPr>
                <w:rFonts w:ascii="Times New Roman" w:hAnsi="Times New Roman" w:cs="Times New Roman"/>
                <w:b/>
                <w:bCs/>
                <w:sz w:val="20"/>
                <w:szCs w:val="20"/>
              </w:rPr>
              <w:t>年度任务</w:t>
            </w:r>
          </w:p>
        </w:tc>
        <w:tc>
          <w:tcPr>
            <w:tcW w:w="4643" w:type="dxa"/>
            <w:vAlign w:val="center"/>
          </w:tcPr>
          <w:p w14:paraId="64A1F014">
            <w:pPr>
              <w:jc w:val="center"/>
              <w:rPr>
                <w:rFonts w:ascii="Times New Roman" w:hAnsi="Times New Roman" w:cs="Times New Roman"/>
                <w:b/>
                <w:bCs/>
                <w:sz w:val="20"/>
                <w:szCs w:val="20"/>
              </w:rPr>
            </w:pPr>
            <w:r>
              <w:rPr>
                <w:rFonts w:ascii="Times New Roman" w:hAnsi="Times New Roman" w:cs="Times New Roman"/>
                <w:b/>
                <w:bCs/>
                <w:sz w:val="20"/>
                <w:szCs w:val="20"/>
              </w:rPr>
              <w:t>绩效目标</w:t>
            </w:r>
          </w:p>
        </w:tc>
      </w:tr>
      <w:tr w14:paraId="1C48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16" w:type="dxa"/>
            <w:vAlign w:val="center"/>
          </w:tcPr>
          <w:p w14:paraId="5ECADAD7">
            <w:pPr>
              <w:rPr>
                <w:rFonts w:ascii="Times New Roman" w:hAnsi="Times New Roman" w:cs="Times New Roman"/>
                <w:sz w:val="20"/>
                <w:szCs w:val="20"/>
              </w:rPr>
            </w:pPr>
            <w:r>
              <w:rPr>
                <w:rFonts w:hint="eastAsia" w:ascii="Times New Roman" w:hAnsi="Times New Roman" w:cs="Times New Roman"/>
                <w:sz w:val="20"/>
                <w:szCs w:val="20"/>
              </w:rPr>
              <w:t>依法纠正处罚各类交通违法行为</w:t>
            </w:r>
          </w:p>
        </w:tc>
        <w:tc>
          <w:tcPr>
            <w:tcW w:w="2014" w:type="dxa"/>
            <w:vMerge w:val="restart"/>
            <w:vAlign w:val="center"/>
          </w:tcPr>
          <w:p w14:paraId="2E198D80">
            <w:pPr>
              <w:jc w:val="left"/>
              <w:rPr>
                <w:rFonts w:ascii="Times New Roman" w:hAnsi="Times New Roman" w:cs="Times New Roman"/>
                <w:sz w:val="20"/>
                <w:szCs w:val="20"/>
              </w:rPr>
            </w:pPr>
            <w:r>
              <w:rPr>
                <w:rFonts w:hint="eastAsia" w:ascii="Times New Roman" w:hAnsi="Times New Roman" w:cs="Times New Roman"/>
                <w:sz w:val="20"/>
                <w:szCs w:val="20"/>
              </w:rPr>
              <w:t>立足维护首都安全，构建常态化防控体系，坚决筑牢交管阵地</w:t>
            </w:r>
          </w:p>
        </w:tc>
        <w:tc>
          <w:tcPr>
            <w:tcW w:w="4643" w:type="dxa"/>
            <w:vAlign w:val="center"/>
          </w:tcPr>
          <w:p w14:paraId="3A2EA600">
            <w:pPr>
              <w:pStyle w:val="2"/>
              <w:ind w:left="0" w:leftChars="0"/>
              <w:rPr>
                <w:rFonts w:ascii="Times New Roman" w:hAnsi="Times New Roman" w:cs="Times New Roman"/>
                <w:sz w:val="20"/>
                <w:szCs w:val="20"/>
              </w:rPr>
            </w:pPr>
            <w:r>
              <w:rPr>
                <w:rFonts w:hint="eastAsia" w:ascii="Times New Roman" w:hAnsi="Times New Roman" w:cs="Times New Roman"/>
                <w:sz w:val="20"/>
                <w:szCs w:val="20"/>
              </w:rPr>
              <w:t>执法效能明显提升，酒驾，涉牌，闯红灯，违法占用公交车道、应急车道等显性违法得到有效遏制，交通秩序环境保持向好势</w:t>
            </w:r>
          </w:p>
        </w:tc>
      </w:tr>
      <w:tr w14:paraId="36F3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316" w:type="dxa"/>
            <w:vAlign w:val="center"/>
          </w:tcPr>
          <w:p w14:paraId="5119ED4E">
            <w:pPr>
              <w:jc w:val="left"/>
              <w:rPr>
                <w:rFonts w:ascii="Times New Roman" w:hAnsi="Times New Roman" w:cs="Times New Roman"/>
                <w:sz w:val="20"/>
                <w:szCs w:val="20"/>
              </w:rPr>
            </w:pPr>
            <w:r>
              <w:rPr>
                <w:rFonts w:hint="eastAsia" w:ascii="Times New Roman" w:hAnsi="Times New Roman" w:cs="Times New Roman"/>
                <w:sz w:val="20"/>
                <w:szCs w:val="20"/>
              </w:rPr>
              <w:t>负责道路交通事故处理；查缉交通肇事逃逸案件</w:t>
            </w:r>
          </w:p>
        </w:tc>
        <w:tc>
          <w:tcPr>
            <w:tcW w:w="2014" w:type="dxa"/>
            <w:vMerge w:val="continue"/>
            <w:vAlign w:val="center"/>
          </w:tcPr>
          <w:p w14:paraId="4CB9A12B">
            <w:pPr>
              <w:jc w:val="left"/>
              <w:rPr>
                <w:rFonts w:ascii="Times New Roman" w:hAnsi="Times New Roman" w:cs="Times New Roman"/>
                <w:sz w:val="20"/>
                <w:szCs w:val="20"/>
              </w:rPr>
            </w:pPr>
          </w:p>
        </w:tc>
        <w:tc>
          <w:tcPr>
            <w:tcW w:w="4643" w:type="dxa"/>
            <w:vAlign w:val="center"/>
          </w:tcPr>
          <w:p w14:paraId="6B5A6163">
            <w:pPr>
              <w:pStyle w:val="2"/>
              <w:ind w:left="0" w:leftChars="0"/>
              <w:rPr>
                <w:sz w:val="20"/>
                <w:szCs w:val="20"/>
              </w:rPr>
            </w:pPr>
            <w:r>
              <w:rPr>
                <w:rFonts w:hint="eastAsia"/>
                <w:sz w:val="20"/>
                <w:szCs w:val="20"/>
              </w:rPr>
              <w:t>交通安全行业监管责任、企业主体责任进一步压实，交通安全风险防控能力持续增强，严防发生群死群伤重特大交通事故</w:t>
            </w:r>
          </w:p>
        </w:tc>
      </w:tr>
      <w:tr w14:paraId="565C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16" w:type="dxa"/>
            <w:vAlign w:val="center"/>
          </w:tcPr>
          <w:p w14:paraId="50F63664">
            <w:pPr>
              <w:jc w:val="left"/>
              <w:rPr>
                <w:rFonts w:ascii="Times New Roman" w:hAnsi="Times New Roman" w:cs="Times New Roman"/>
                <w:sz w:val="20"/>
                <w:szCs w:val="20"/>
              </w:rPr>
            </w:pPr>
            <w:r>
              <w:rPr>
                <w:rFonts w:hint="eastAsia" w:ascii="Times New Roman" w:hAnsi="Times New Roman" w:cs="Times New Roman"/>
                <w:sz w:val="20"/>
                <w:szCs w:val="20"/>
              </w:rPr>
              <w:t>负责重大国事外事活动、重要首脑外宾的交通安全保卫</w:t>
            </w:r>
          </w:p>
        </w:tc>
        <w:tc>
          <w:tcPr>
            <w:tcW w:w="2014" w:type="dxa"/>
            <w:vMerge w:val="continue"/>
            <w:vAlign w:val="center"/>
          </w:tcPr>
          <w:p w14:paraId="187CBD95">
            <w:pPr>
              <w:jc w:val="left"/>
              <w:rPr>
                <w:rFonts w:ascii="Times New Roman" w:hAnsi="Times New Roman" w:cs="Times New Roman"/>
                <w:sz w:val="20"/>
                <w:szCs w:val="20"/>
              </w:rPr>
            </w:pPr>
          </w:p>
        </w:tc>
        <w:tc>
          <w:tcPr>
            <w:tcW w:w="4643" w:type="dxa"/>
            <w:vAlign w:val="center"/>
          </w:tcPr>
          <w:p w14:paraId="0D047E1A">
            <w:pPr>
              <w:pStyle w:val="2"/>
              <w:ind w:left="0" w:leftChars="0"/>
              <w:rPr>
                <w:sz w:val="20"/>
                <w:szCs w:val="20"/>
              </w:rPr>
            </w:pPr>
            <w:r>
              <w:rPr>
                <w:rFonts w:hint="eastAsia" w:ascii="Times New Roman" w:hAnsi="Times New Roman" w:cs="Times New Roman"/>
                <w:sz w:val="20"/>
                <w:szCs w:val="20"/>
              </w:rPr>
              <w:t>交通警卫勤务模式持续深化</w:t>
            </w:r>
          </w:p>
        </w:tc>
      </w:tr>
      <w:tr w14:paraId="2ACB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316" w:type="dxa"/>
            <w:vAlign w:val="center"/>
          </w:tcPr>
          <w:p w14:paraId="6FDEA7CA">
            <w:pPr>
              <w:jc w:val="left"/>
              <w:rPr>
                <w:rFonts w:ascii="Times New Roman" w:hAnsi="Times New Roman" w:cs="Times New Roman"/>
                <w:sz w:val="20"/>
                <w:szCs w:val="20"/>
              </w:rPr>
            </w:pPr>
            <w:r>
              <w:rPr>
                <w:rFonts w:hint="eastAsia" w:ascii="Times New Roman" w:hAnsi="Times New Roman" w:cs="Times New Roman"/>
                <w:sz w:val="20"/>
                <w:szCs w:val="20"/>
              </w:rPr>
              <w:t>负责维护疏导路面交通秩序</w:t>
            </w:r>
          </w:p>
        </w:tc>
        <w:tc>
          <w:tcPr>
            <w:tcW w:w="2014" w:type="dxa"/>
            <w:vAlign w:val="center"/>
          </w:tcPr>
          <w:p w14:paraId="4093C92B">
            <w:pPr>
              <w:jc w:val="left"/>
              <w:rPr>
                <w:rFonts w:ascii="Times New Roman" w:hAnsi="Times New Roman" w:cs="Times New Roman"/>
                <w:sz w:val="20"/>
                <w:szCs w:val="20"/>
              </w:rPr>
            </w:pPr>
            <w:r>
              <w:rPr>
                <w:rFonts w:hint="eastAsia" w:ascii="Times New Roman" w:hAnsi="Times New Roman" w:cs="Times New Roman"/>
                <w:sz w:val="20"/>
                <w:szCs w:val="20"/>
              </w:rPr>
              <w:t>聚焦城市交通发展，构建优质化服务体系，全面改善服务体验</w:t>
            </w:r>
          </w:p>
        </w:tc>
        <w:tc>
          <w:tcPr>
            <w:tcW w:w="4643" w:type="dxa"/>
            <w:vAlign w:val="center"/>
          </w:tcPr>
          <w:p w14:paraId="1A95ABC2">
            <w:pPr>
              <w:pStyle w:val="2"/>
              <w:ind w:left="0" w:leftChars="0"/>
              <w:rPr>
                <w:sz w:val="20"/>
                <w:szCs w:val="20"/>
              </w:rPr>
            </w:pPr>
            <w:r>
              <w:rPr>
                <w:rFonts w:hint="eastAsia"/>
                <w:sz w:val="20"/>
                <w:szCs w:val="20"/>
              </w:rPr>
              <w:t>交通组织、设施管理更加精细、科学，有效治理一批堵点乱点</w:t>
            </w:r>
          </w:p>
        </w:tc>
      </w:tr>
      <w:tr w14:paraId="3D7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316" w:type="dxa"/>
            <w:vAlign w:val="center"/>
          </w:tcPr>
          <w:p w14:paraId="33F5E4ED">
            <w:pPr>
              <w:rPr>
                <w:rFonts w:ascii="Times New Roman" w:hAnsi="Times New Roman" w:cs="Times New Roman"/>
                <w:sz w:val="20"/>
                <w:szCs w:val="20"/>
              </w:rPr>
            </w:pPr>
            <w:r>
              <w:rPr>
                <w:rFonts w:hint="eastAsia" w:ascii="Times New Roman" w:hAnsi="Times New Roman" w:cs="Times New Roman"/>
                <w:sz w:val="20"/>
                <w:szCs w:val="20"/>
              </w:rPr>
              <w:t>负责开发应用智能交通科学技术，规划设置和维护管理城市道路交通标志设施</w:t>
            </w:r>
          </w:p>
        </w:tc>
        <w:tc>
          <w:tcPr>
            <w:tcW w:w="2014" w:type="dxa"/>
            <w:vAlign w:val="center"/>
          </w:tcPr>
          <w:p w14:paraId="7BCB351F">
            <w:pPr>
              <w:jc w:val="left"/>
              <w:rPr>
                <w:rFonts w:ascii="Times New Roman" w:hAnsi="Times New Roman" w:cs="Times New Roman"/>
                <w:sz w:val="20"/>
                <w:szCs w:val="20"/>
              </w:rPr>
            </w:pPr>
            <w:r>
              <w:rPr>
                <w:rFonts w:hint="eastAsia" w:ascii="Times New Roman" w:hAnsi="Times New Roman" w:cs="Times New Roman"/>
                <w:sz w:val="20"/>
                <w:szCs w:val="20"/>
              </w:rPr>
              <w:t>把握科技发展大势，构建智能化应用体系，有效提升管理水平</w:t>
            </w:r>
          </w:p>
        </w:tc>
        <w:tc>
          <w:tcPr>
            <w:tcW w:w="4643" w:type="dxa"/>
            <w:vAlign w:val="center"/>
          </w:tcPr>
          <w:p w14:paraId="1C052C50">
            <w:pPr>
              <w:pStyle w:val="2"/>
              <w:ind w:left="0" w:leftChars="0"/>
              <w:rPr>
                <w:sz w:val="20"/>
                <w:szCs w:val="20"/>
              </w:rPr>
            </w:pPr>
            <w:r>
              <w:rPr>
                <w:rFonts w:hint="eastAsia"/>
                <w:sz w:val="20"/>
                <w:szCs w:val="20"/>
              </w:rPr>
              <w:t>交管智能化建设加快推进，实践应用水平持续提升</w:t>
            </w:r>
          </w:p>
        </w:tc>
      </w:tr>
      <w:tr w14:paraId="3EF6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316" w:type="dxa"/>
            <w:vAlign w:val="center"/>
          </w:tcPr>
          <w:p w14:paraId="4BE61338">
            <w:pPr>
              <w:jc w:val="left"/>
              <w:rPr>
                <w:rFonts w:ascii="Times New Roman" w:hAnsi="Times New Roman" w:cs="Times New Roman"/>
                <w:sz w:val="20"/>
                <w:szCs w:val="20"/>
              </w:rPr>
            </w:pPr>
            <w:r>
              <w:rPr>
                <w:rFonts w:hint="eastAsia" w:ascii="Times New Roman" w:hAnsi="Times New Roman" w:cs="Times New Roman"/>
                <w:sz w:val="20"/>
                <w:szCs w:val="20"/>
              </w:rPr>
              <w:t>负责开展交通安全宣传教育；监督、检查社会各单位履行交通安全责任情况</w:t>
            </w:r>
          </w:p>
        </w:tc>
        <w:tc>
          <w:tcPr>
            <w:tcW w:w="2014" w:type="dxa"/>
            <w:vAlign w:val="center"/>
          </w:tcPr>
          <w:p w14:paraId="3D136C67">
            <w:pPr>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坚持共建共治共享，构建社会化治理体系，切实增强治理能力</w:t>
            </w:r>
          </w:p>
        </w:tc>
        <w:tc>
          <w:tcPr>
            <w:tcW w:w="4643" w:type="dxa"/>
            <w:vAlign w:val="center"/>
          </w:tcPr>
          <w:p w14:paraId="34A74769">
            <w:pPr>
              <w:jc w:val="left"/>
              <w:rPr>
                <w:rFonts w:ascii="Times New Roman" w:hAnsi="Times New Roman" w:cs="Times New Roman"/>
                <w:sz w:val="20"/>
                <w:szCs w:val="20"/>
              </w:rPr>
            </w:pPr>
            <w:r>
              <w:rPr>
                <w:rFonts w:hint="eastAsia" w:ascii="Times New Roman" w:hAnsi="Times New Roman" w:cs="Times New Roman"/>
                <w:sz w:val="20"/>
                <w:szCs w:val="20"/>
              </w:rPr>
              <w:t>新形势下警民共商共建交通治理模式深化推进，为民服务水平持续提升，群众获得感和满意度不断提高</w:t>
            </w:r>
          </w:p>
        </w:tc>
      </w:tr>
    </w:tbl>
    <w:p w14:paraId="11F8E43D">
      <w:pPr>
        <w:pStyle w:val="2"/>
        <w:ind w:left="0" w:leftChars="0"/>
      </w:pPr>
    </w:p>
    <w:p w14:paraId="606AE3BA">
      <w:pPr>
        <w:adjustRightInd w:val="0"/>
        <w:snapToGrid w:val="0"/>
        <w:spacing w:line="360" w:lineRule="auto"/>
        <w:ind w:firstLine="640" w:firstLineChars="200"/>
        <w:outlineLvl w:val="2"/>
        <w:rPr>
          <w:rFonts w:ascii="Times New Roman" w:hAnsi="Times New Roman" w:eastAsia="仿宋_GB2312" w:cs="Times New Roman"/>
          <w:bCs/>
          <w:sz w:val="32"/>
          <w:szCs w:val="32"/>
        </w:rPr>
      </w:pPr>
      <w:bookmarkStart w:id="21" w:name="_Toc102140639"/>
      <w:bookmarkStart w:id="22" w:name="_Toc103542834"/>
      <w:bookmarkStart w:id="23" w:name="_Toc102158220"/>
      <w:r>
        <w:rPr>
          <w:rFonts w:ascii="Times New Roman" w:hAnsi="Times New Roman" w:eastAsia="仿宋_GB2312" w:cs="Times New Roman"/>
          <w:bCs/>
          <w:sz w:val="32"/>
          <w:szCs w:val="32"/>
        </w:rPr>
        <w:t>2.绩效目标设置合理性</w:t>
      </w:r>
      <w:bookmarkEnd w:id="21"/>
      <w:bookmarkEnd w:id="22"/>
      <w:bookmarkEnd w:id="23"/>
    </w:p>
    <w:p w14:paraId="4AC0D232">
      <w:pPr>
        <w:pStyle w:val="2"/>
        <w:adjustRightInd w:val="0"/>
        <w:snapToGrid w:val="0"/>
        <w:spacing w:line="360" w:lineRule="auto"/>
        <w:ind w:left="0" w:leftChars="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ascii="Times New Roman" w:hAnsi="Times New Roman" w:eastAsia="仿宋_GB2312" w:cs="Times New Roman"/>
          <w:color w:val="000000"/>
          <w:sz w:val="32"/>
          <w:szCs w:val="32"/>
        </w:rPr>
        <w:t>部门整体绩效目标</w:t>
      </w:r>
      <w:r>
        <w:rPr>
          <w:rFonts w:hint="eastAsia" w:ascii="Times New Roman" w:hAnsi="Times New Roman" w:eastAsia="仿宋_GB2312" w:cs="Times New Roman"/>
          <w:color w:val="000000"/>
          <w:sz w:val="32"/>
          <w:szCs w:val="32"/>
        </w:rPr>
        <w:t>设置围绕立足维护首都安全、聚焦城市交通发展、构建智能化应用体系、坚持共建共治共享等年度重点工作任务设置，绩效目标设置较为细化与部门职责及年度工作计划相符。但部门整体绩效目标设置科学合理性仍有待进一步提升：一是绩效目标设置不够细化、量化，相关重点工作产出数量不够明确；二是着眼交管长远发展，培育队伍内生动力相关重点工作未对应设置相关绩效指标。</w:t>
      </w:r>
    </w:p>
    <w:p w14:paraId="0248ECF1">
      <w:pPr>
        <w:numPr>
          <w:ilvl w:val="0"/>
          <w:numId w:val="1"/>
        </w:numPr>
        <w:adjustRightInd w:val="0"/>
        <w:snapToGrid w:val="0"/>
        <w:spacing w:line="360" w:lineRule="auto"/>
        <w:ind w:firstLine="640" w:firstLineChars="200"/>
        <w:outlineLvl w:val="0"/>
        <w:rPr>
          <w:rFonts w:ascii="Times New Roman" w:hAnsi="Times New Roman" w:eastAsia="黑体" w:cs="Times New Roman"/>
          <w:bCs/>
          <w:sz w:val="32"/>
          <w:szCs w:val="32"/>
        </w:rPr>
      </w:pPr>
      <w:bookmarkStart w:id="24" w:name="_Toc103542835"/>
      <w:bookmarkStart w:id="25" w:name="_Toc102158221"/>
      <w:r>
        <w:rPr>
          <w:rFonts w:ascii="Times New Roman" w:hAnsi="Times New Roman" w:eastAsia="黑体" w:cs="Times New Roman"/>
          <w:bCs/>
          <w:sz w:val="32"/>
          <w:szCs w:val="32"/>
        </w:rPr>
        <w:t>当年预算执行情况</w:t>
      </w:r>
      <w:bookmarkEnd w:id="24"/>
      <w:bookmarkEnd w:id="25"/>
    </w:p>
    <w:p w14:paraId="41984924">
      <w:pPr>
        <w:adjustRightInd w:val="0"/>
        <w:snapToGrid w:val="0"/>
        <w:spacing w:line="360" w:lineRule="auto"/>
        <w:ind w:firstLine="640" w:firstLineChars="200"/>
        <w:rPr>
          <w:rFonts w:ascii="Times New Roman" w:hAnsi="Times New Roman" w:cs="Times New Roman"/>
          <w:highlight w:val="none"/>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hint="eastAsia" w:ascii="Times New Roman" w:hAnsi="Times New Roman" w:eastAsia="仿宋_GB2312" w:cs="Times New Roman"/>
          <w:bCs/>
          <w:sz w:val="32"/>
          <w:szCs w:val="32"/>
          <w:highlight w:val="none"/>
          <w:lang w:eastAsia="zh-CN"/>
        </w:rPr>
        <w:t>2022</w:t>
      </w:r>
      <w:r>
        <w:rPr>
          <w:rFonts w:ascii="Times New Roman" w:hAnsi="Times New Roman" w:eastAsia="仿宋_GB2312" w:cs="Times New Roman"/>
          <w:bCs/>
          <w:sz w:val="32"/>
          <w:szCs w:val="32"/>
          <w:highlight w:val="none"/>
        </w:rPr>
        <w:t>年全年</w:t>
      </w:r>
      <w:r>
        <w:rPr>
          <w:rFonts w:hint="eastAsia" w:ascii="Times New Roman" w:hAnsi="Times New Roman" w:eastAsia="仿宋_GB2312" w:cs="Times New Roman"/>
          <w:bCs/>
          <w:sz w:val="32"/>
          <w:szCs w:val="32"/>
          <w:highlight w:val="none"/>
        </w:rPr>
        <w:t>财政拨款支出预算492824.</w:t>
      </w:r>
      <w:r>
        <w:rPr>
          <w:rFonts w:hint="eastAsia" w:ascii="Times New Roman" w:hAnsi="Times New Roman" w:eastAsia="仿宋_GB2312" w:cs="Times New Roman"/>
          <w:bCs/>
          <w:sz w:val="32"/>
          <w:szCs w:val="32"/>
          <w:highlight w:val="none"/>
          <w:lang w:val="en-US" w:eastAsia="zh-CN"/>
        </w:rPr>
        <w:t>40</w:t>
      </w:r>
      <w:r>
        <w:rPr>
          <w:rFonts w:hint="eastAsia" w:ascii="Times New Roman" w:hAnsi="Times New Roman" w:eastAsia="仿宋_GB2312" w:cs="Times New Roman"/>
          <w:bCs/>
          <w:sz w:val="32"/>
          <w:szCs w:val="32"/>
          <w:highlight w:val="none"/>
        </w:rPr>
        <w:t>万元，其中，</w:t>
      </w:r>
      <w:r>
        <w:rPr>
          <w:rFonts w:ascii="Times New Roman" w:hAnsi="Times New Roman" w:eastAsia="仿宋_GB2312" w:cs="Times New Roman"/>
          <w:bCs/>
          <w:sz w:val="32"/>
          <w:szCs w:val="32"/>
          <w:highlight w:val="none"/>
        </w:rPr>
        <w:t>基本支出预算</w:t>
      </w:r>
      <w:r>
        <w:rPr>
          <w:rFonts w:hint="eastAsia" w:ascii="Times New Roman" w:hAnsi="Times New Roman" w:eastAsia="仿宋_GB2312" w:cs="Times New Roman"/>
          <w:bCs/>
          <w:sz w:val="32"/>
          <w:szCs w:val="32"/>
          <w:highlight w:val="none"/>
        </w:rPr>
        <w:t>379535</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68</w:t>
      </w:r>
      <w:r>
        <w:rPr>
          <w:rFonts w:ascii="Times New Roman" w:hAnsi="Times New Roman" w:eastAsia="仿宋_GB2312" w:cs="Times New Roman"/>
          <w:bCs/>
          <w:sz w:val="32"/>
          <w:szCs w:val="32"/>
          <w:highlight w:val="none"/>
        </w:rPr>
        <w:t>万元，项目支出预算</w:t>
      </w:r>
      <w:r>
        <w:rPr>
          <w:rFonts w:hint="eastAsia" w:ascii="Times New Roman" w:hAnsi="Times New Roman" w:eastAsia="仿宋_GB2312" w:cs="Times New Roman"/>
          <w:bCs/>
          <w:sz w:val="32"/>
          <w:szCs w:val="32"/>
          <w:highlight w:val="none"/>
        </w:rPr>
        <w:t>113288</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72</w:t>
      </w:r>
      <w:r>
        <w:rPr>
          <w:rFonts w:ascii="Times New Roman" w:hAnsi="Times New Roman" w:eastAsia="仿宋_GB2312" w:cs="Times New Roman"/>
          <w:bCs/>
          <w:sz w:val="32"/>
          <w:szCs w:val="32"/>
          <w:highlight w:val="none"/>
        </w:rPr>
        <w:t>万元</w:t>
      </w:r>
      <w:r>
        <w:rPr>
          <w:rFonts w:hint="eastAsia" w:ascii="Times New Roman" w:hAnsi="Times New Roman" w:eastAsia="仿宋_GB2312" w:cs="Times New Roman"/>
          <w:bCs/>
          <w:sz w:val="32"/>
          <w:szCs w:val="32"/>
          <w:highlight w:val="none"/>
        </w:rPr>
        <w:t>。</w:t>
      </w:r>
    </w:p>
    <w:p w14:paraId="57F7D561">
      <w:pPr>
        <w:adjustRightInd w:val="0"/>
        <w:snapToGrid w:val="0"/>
        <w:spacing w:line="360" w:lineRule="auto"/>
        <w:ind w:firstLine="640" w:firstLineChars="200"/>
        <w:rPr>
          <w:highlight w:val="none"/>
        </w:rPr>
      </w:pPr>
      <w:r>
        <w:rPr>
          <w:rFonts w:ascii="Times New Roman" w:hAnsi="Times New Roman" w:eastAsia="仿宋_GB2312" w:cs="Times New Roman"/>
          <w:bCs/>
          <w:sz w:val="32"/>
          <w:szCs w:val="32"/>
          <w:highlight w:val="none"/>
        </w:rPr>
        <w:t>截至</w:t>
      </w:r>
      <w:r>
        <w:rPr>
          <w:rFonts w:hint="eastAsia" w:ascii="Times New Roman" w:hAnsi="Times New Roman" w:eastAsia="仿宋_GB2312" w:cs="Times New Roman"/>
          <w:bCs/>
          <w:sz w:val="32"/>
          <w:szCs w:val="32"/>
          <w:highlight w:val="none"/>
          <w:lang w:eastAsia="zh-CN"/>
        </w:rPr>
        <w:t>2022</w:t>
      </w:r>
      <w:r>
        <w:rPr>
          <w:rFonts w:ascii="Times New Roman" w:hAnsi="Times New Roman" w:eastAsia="仿宋_GB2312" w:cs="Times New Roman"/>
          <w:bCs/>
          <w:sz w:val="32"/>
          <w:szCs w:val="32"/>
          <w:highlight w:val="none"/>
        </w:rPr>
        <w:t>年12月31日，</w:t>
      </w:r>
      <w:r>
        <w:rPr>
          <w:rFonts w:hint="eastAsia" w:ascii="Times New Roman" w:hAnsi="Times New Roman" w:eastAsia="仿宋_GB2312" w:cs="Times New Roman"/>
          <w:bCs/>
          <w:sz w:val="32"/>
          <w:szCs w:val="32"/>
          <w:highlight w:val="none"/>
        </w:rPr>
        <w:t>本年财政拨款支出合计462144.3</w:t>
      </w:r>
      <w:r>
        <w:rPr>
          <w:rFonts w:hint="eastAsia" w:ascii="Times New Roman" w:hAnsi="Times New Roman" w:eastAsia="仿宋_GB2312" w:cs="Times New Roman"/>
          <w:bCs/>
          <w:sz w:val="32"/>
          <w:szCs w:val="32"/>
          <w:highlight w:val="none"/>
          <w:lang w:val="en-US" w:eastAsia="zh-CN"/>
        </w:rPr>
        <w:t>0</w:t>
      </w:r>
      <w:r>
        <w:rPr>
          <w:rFonts w:hint="eastAsia" w:ascii="Times New Roman" w:hAnsi="Times New Roman" w:eastAsia="仿宋_GB2312" w:cs="Times New Roman"/>
          <w:bCs/>
          <w:sz w:val="32"/>
          <w:szCs w:val="32"/>
          <w:highlight w:val="none"/>
        </w:rPr>
        <w:t>万元</w:t>
      </w:r>
      <w:r>
        <w:rPr>
          <w:rFonts w:ascii="Times New Roman" w:hAnsi="Times New Roman" w:eastAsia="仿宋_GB2312" w:cs="Times New Roman"/>
          <w:bCs/>
          <w:sz w:val="32"/>
          <w:szCs w:val="32"/>
          <w:highlight w:val="none"/>
        </w:rPr>
        <w:t>，其中，基本支出</w:t>
      </w:r>
      <w:r>
        <w:rPr>
          <w:rFonts w:hint="eastAsia" w:ascii="Times New Roman" w:hAnsi="Times New Roman" w:eastAsia="仿宋_GB2312" w:cs="Times New Roman"/>
          <w:bCs/>
          <w:sz w:val="32"/>
          <w:szCs w:val="32"/>
          <w:highlight w:val="none"/>
        </w:rPr>
        <w:t>378094</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36</w:t>
      </w:r>
      <w:r>
        <w:rPr>
          <w:rFonts w:ascii="Times New Roman" w:hAnsi="Times New Roman" w:eastAsia="仿宋_GB2312" w:cs="Times New Roman"/>
          <w:bCs/>
          <w:sz w:val="32"/>
          <w:szCs w:val="32"/>
          <w:highlight w:val="none"/>
        </w:rPr>
        <w:t>万元，项目支出</w:t>
      </w:r>
      <w:r>
        <w:rPr>
          <w:rFonts w:hint="eastAsia" w:ascii="Times New Roman" w:hAnsi="Times New Roman" w:eastAsia="仿宋_GB2312" w:cs="Times New Roman"/>
          <w:bCs/>
          <w:sz w:val="32"/>
          <w:szCs w:val="32"/>
          <w:highlight w:val="none"/>
        </w:rPr>
        <w:t>84049</w:t>
      </w:r>
      <w:r>
        <w:rPr>
          <w:rFonts w:hint="eastAsia"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rPr>
        <w:t>94</w:t>
      </w:r>
      <w:r>
        <w:rPr>
          <w:rFonts w:ascii="Times New Roman" w:hAnsi="Times New Roman" w:eastAsia="仿宋_GB2312" w:cs="Times New Roman"/>
          <w:bCs/>
          <w:sz w:val="32"/>
          <w:szCs w:val="32"/>
          <w:highlight w:val="none"/>
        </w:rPr>
        <w:t>万元</w:t>
      </w:r>
      <w:bookmarkStart w:id="26" w:name="_Hlk103285754"/>
      <w:r>
        <w:rPr>
          <w:rFonts w:hint="eastAsia" w:ascii="Times New Roman" w:hAnsi="Times New Roman" w:eastAsia="仿宋_GB2312" w:cs="Times New Roman"/>
          <w:bCs/>
          <w:sz w:val="32"/>
          <w:szCs w:val="32"/>
          <w:highlight w:val="none"/>
        </w:rPr>
        <w:t>。</w:t>
      </w:r>
      <w:bookmarkEnd w:id="26"/>
      <w:r>
        <w:rPr>
          <w:rFonts w:hint="eastAsia" w:ascii="Times New Roman" w:hAnsi="Times New Roman" w:eastAsia="仿宋_GB2312" w:cs="Times New Roman"/>
          <w:bCs/>
          <w:sz w:val="32"/>
          <w:szCs w:val="32"/>
          <w:highlight w:val="none"/>
        </w:rPr>
        <w:t>财政拨款预算执行率为</w:t>
      </w:r>
      <w:r>
        <w:rPr>
          <w:rFonts w:hint="eastAsia" w:ascii="Times New Roman" w:hAnsi="Times New Roman" w:eastAsia="仿宋_GB2312" w:cs="Times New Roman"/>
          <w:bCs/>
          <w:sz w:val="32"/>
          <w:szCs w:val="32"/>
          <w:highlight w:val="none"/>
          <w:lang w:val="en-US" w:eastAsia="zh-CN"/>
        </w:rPr>
        <w:t>93.77</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w:t>
      </w:r>
    </w:p>
    <w:p w14:paraId="3D18166B">
      <w:pPr>
        <w:adjustRightInd w:val="0"/>
        <w:snapToGrid w:val="0"/>
        <w:spacing w:line="360" w:lineRule="auto"/>
        <w:ind w:firstLine="640" w:firstLineChars="200"/>
        <w:jc w:val="left"/>
        <w:outlineLvl w:val="0"/>
        <w:rPr>
          <w:rFonts w:ascii="Times New Roman" w:hAnsi="Times New Roman" w:eastAsia="黑体" w:cs="Times New Roman"/>
          <w:sz w:val="32"/>
          <w:szCs w:val="32"/>
        </w:rPr>
      </w:pPr>
      <w:bookmarkStart w:id="27" w:name="_Toc103542836"/>
      <w:bookmarkStart w:id="28" w:name="_Toc102158222"/>
      <w:r>
        <w:rPr>
          <w:rFonts w:ascii="Times New Roman" w:hAnsi="Times New Roman" w:eastAsia="黑体" w:cs="Times New Roman"/>
          <w:sz w:val="32"/>
          <w:szCs w:val="32"/>
        </w:rPr>
        <w:t>三、整体绩效目标实现情况</w:t>
      </w:r>
      <w:bookmarkEnd w:id="27"/>
      <w:bookmarkEnd w:id="28"/>
    </w:p>
    <w:p w14:paraId="5D2D1A35">
      <w:pPr>
        <w:adjustRightInd w:val="0"/>
        <w:snapToGrid w:val="0"/>
        <w:spacing w:line="360" w:lineRule="auto"/>
        <w:ind w:firstLine="640" w:firstLineChars="200"/>
        <w:outlineLvl w:val="1"/>
        <w:rPr>
          <w:rFonts w:ascii="Times New Roman" w:hAnsi="Times New Roman" w:eastAsia="楷体" w:cs="Times New Roman"/>
          <w:sz w:val="32"/>
          <w:szCs w:val="32"/>
        </w:rPr>
      </w:pPr>
      <w:bookmarkStart w:id="29" w:name="_Toc102158223"/>
      <w:bookmarkStart w:id="30" w:name="_Toc103542837"/>
      <w:r>
        <w:rPr>
          <w:rFonts w:ascii="Times New Roman" w:hAnsi="Times New Roman" w:eastAsia="楷体" w:cs="Times New Roman"/>
          <w:sz w:val="32"/>
          <w:szCs w:val="32"/>
        </w:rPr>
        <w:t>（一）产出完成情况分析</w:t>
      </w:r>
      <w:bookmarkEnd w:id="29"/>
      <w:bookmarkEnd w:id="30"/>
    </w:p>
    <w:p w14:paraId="76DD7A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pPr>
      <w:r>
        <w:rPr>
          <w:rFonts w:hint="eastAsia" w:ascii="Times New Roman" w:hAnsi="Times New Roman" w:eastAsia="仿宋_GB2312" w:cs="Times New Roman"/>
          <w:bCs/>
          <w:sz w:val="32"/>
          <w:szCs w:val="32"/>
          <w:lang w:eastAsia="zh-CN"/>
        </w:rPr>
        <w:t>2022</w:t>
      </w:r>
      <w:r>
        <w:rPr>
          <w:rFonts w:ascii="Times New Roman" w:hAnsi="Times New Roman" w:eastAsia="仿宋_GB2312" w:cs="Times New Roman"/>
          <w:bCs/>
          <w:sz w:val="32"/>
          <w:szCs w:val="32"/>
        </w:rPr>
        <w:t>年度</w:t>
      </w: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ascii="Times New Roman" w:hAnsi="Times New Roman" w:eastAsia="仿宋_GB2312" w:cs="Times New Roman"/>
          <w:bCs/>
          <w:sz w:val="32"/>
          <w:szCs w:val="32"/>
        </w:rPr>
        <w:t>进一步深化落实年度重点工作实施，各项产出指标已按照计划完成</w:t>
      </w:r>
      <w:r>
        <w:rPr>
          <w:rFonts w:hint="eastAsia" w:ascii="Times New Roman" w:hAnsi="Times New Roman" w:eastAsia="仿宋_GB2312" w:cs="Times New Roman"/>
          <w:bCs/>
          <w:sz w:val="32"/>
          <w:szCs w:val="32"/>
          <w:lang w:eastAsia="zh-CN"/>
        </w:rPr>
        <w:t>。</w:t>
      </w:r>
    </w:p>
    <w:p w14:paraId="464DA42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Times New Roman" w:hAnsi="Times New Roman" w:eastAsia="仿宋_GB2312" w:cs="Times New Roman"/>
          <w:b w:val="0"/>
          <w:bCs w:val="0"/>
          <w:sz w:val="32"/>
          <w:szCs w:val="32"/>
        </w:rPr>
      </w:pPr>
      <w:bookmarkStart w:id="31" w:name="_Toc102158225"/>
      <w:bookmarkStart w:id="32" w:name="_Toc102140644"/>
      <w:r>
        <w:rPr>
          <w:rFonts w:hint="eastAsia" w:ascii="Times New Roman" w:hAnsi="Times New Roman" w:eastAsia="仿宋_GB2312" w:cs="Times New Roman"/>
          <w:b/>
          <w:bCs/>
          <w:sz w:val="32"/>
          <w:szCs w:val="32"/>
        </w:rPr>
        <w:t>一、突出最高标准，圆满完成交通安保任务。</w:t>
      </w:r>
      <w:r>
        <w:rPr>
          <w:rFonts w:hint="eastAsia" w:ascii="Times New Roman" w:hAnsi="Times New Roman" w:eastAsia="仿宋_GB2312" w:cs="Times New Roman"/>
          <w:b w:val="0"/>
          <w:bCs w:val="0"/>
          <w:sz w:val="32"/>
          <w:szCs w:val="32"/>
        </w:rPr>
        <w:t>全面打赢冬奥安保整体战</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落实安保防疫交通三位一体协同机制，高效建成交通保障指挥调度中心，集成指挥勤务、赛事、社会面和外围交通运行</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确保了赛事</w:t>
      </w:r>
      <w:r>
        <w:rPr>
          <w:rFonts w:hint="eastAsia" w:ascii="Times New Roman" w:hAnsi="Times New Roman" w:eastAsia="仿宋_GB2312" w:cs="Times New Roman"/>
          <w:b w:val="0"/>
          <w:bCs w:val="0"/>
          <w:sz w:val="32"/>
          <w:szCs w:val="32"/>
          <w:lang w:eastAsia="zh-CN"/>
        </w:rPr>
        <w:t>运行</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零差错</w:t>
      </w:r>
      <w:r>
        <w:rPr>
          <w:rFonts w:hint="eastAsia" w:ascii="Times New Roman" w:hAnsi="Times New Roman" w:eastAsia="仿宋_GB2312" w:cs="Times New Roman"/>
          <w:b w:val="0"/>
          <w:bCs w:val="0"/>
          <w:sz w:val="32"/>
          <w:szCs w:val="32"/>
        </w:rPr>
        <w:t>”。</w:t>
      </w:r>
    </w:p>
    <w:p w14:paraId="637A71C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二、突出精益求精，夯实交通管理基础建设。</w:t>
      </w:r>
      <w:r>
        <w:rPr>
          <w:rFonts w:hint="eastAsia" w:ascii="Times New Roman" w:hAnsi="Times New Roman" w:eastAsia="仿宋_GB2312" w:cs="Times New Roman"/>
          <w:b w:val="0"/>
          <w:bCs w:val="0"/>
          <w:sz w:val="32"/>
          <w:szCs w:val="32"/>
        </w:rPr>
        <w:t>落实“城市管理应该像绣花一样精细”要求，着力提升交通组织系统化、标准化、精细化水平。全面开展交通设施排查</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制定基础标准，组织开展学校周边、山区弯道、限高架、隔离墩、标志标线、高速公路出入口、恶劣天气高影响路段等专项排查，形成任务清单、问题清单，挂账督办、推动治理，新增调整各类标志4652套、标线2567公里、护栏151公里。开展慢行系统、路口交通组织大排查，“一点一策”治理68处堵点、123处乱点，优化178处路口交通组织，在73处路口设置“右转必停”。规范占道施工安全防护。牵头修订《占道作业交通安全设施设置技术要求》等标准规范，提升施工作业安全防护水平。加快信号系统联网联控。搭建“1+10”全市信号控制平台，完成首批450处信号设备升级改造</w:t>
      </w:r>
      <w:r>
        <w:rPr>
          <w:rFonts w:hint="eastAsia" w:ascii="Times New Roman" w:hAnsi="Times New Roman" w:eastAsia="仿宋_GB2312" w:cs="Times New Roman"/>
          <w:b w:val="0"/>
          <w:bCs w:val="0"/>
          <w:sz w:val="32"/>
          <w:szCs w:val="32"/>
          <w:lang w:eastAsia="zh-CN"/>
        </w:rPr>
        <w:t>。</w:t>
      </w:r>
    </w:p>
    <w:p w14:paraId="172660E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三、突出严格规范，持续优化改进交管执法。</w:t>
      </w:r>
      <w:r>
        <w:rPr>
          <w:rFonts w:hint="eastAsia" w:ascii="Times New Roman" w:hAnsi="Times New Roman" w:eastAsia="仿宋_GB2312" w:cs="Times New Roman"/>
          <w:b w:val="0"/>
          <w:bCs w:val="0"/>
          <w:sz w:val="32"/>
          <w:szCs w:val="32"/>
        </w:rPr>
        <w:t>加大路面警力投入，严查酒驾、涉牌、占用应急车道等严重违法，深化警种融合执法。开展打击肇事逃逸专项行动，亡人、重伤逃逸案件100%侦破。联合刑事、治安等警种，联动查处货车组团闯红灯、教唆司机严重超载等违法犯罪案件，由管路面向管源头、管企业延伸。落实110、122“两台合一”，优化接警、布警、处警流程，细化远程处理、线下处警以及交通治安民警协同处置规范，完善监测、督导、回访、考核闭环管理链条，交通警情“一时五率”持续提质增效。</w:t>
      </w:r>
    </w:p>
    <w:p w14:paraId="0FCA1CF0">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四、突出多维发力，全面深化交通综合治理。</w:t>
      </w:r>
      <w:r>
        <w:rPr>
          <w:rFonts w:hint="eastAsia" w:ascii="Times New Roman" w:hAnsi="Times New Roman" w:eastAsia="仿宋_GB2312" w:cs="Times New Roman"/>
          <w:b w:val="0"/>
          <w:bCs w:val="0"/>
          <w:sz w:val="32"/>
          <w:szCs w:val="32"/>
        </w:rPr>
        <w:t>牢固树立大安全大交通理念，健全共建共治共享的社会治理格局。狠抓交通安全综合治理。报请市领导专题调度，推动交通安全纳入全市交通综合治理，压实行业监管、属地管理、企业主体责任，全面开展交通安全治理集中攻坚。建立高风险企业监管平台和“一企一册”挂账整治机制，督促落实交通安全主体责任。挂账治理36条事故高发道路、125处交通安全隐患，动态治理305处道路隐患。加强驾驶人教育培训，严格驾校考试把关，提升安全意识、驾驶技能。持续深化社会协同共治。深化警保联动交通事故远程处理，实现线上线下无缝衔接</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有效缓解事故造堵。联合首都文明办，推进“文明驾车 礼让行人”专项整治，综合评定全市59处达标示范路口，发动150余万人参与文明交通网上承诺，26万人次上路维护疏导，带动全市路口秩序稳步提升。加强交通安全宣传教育。瞄准交通事故易受侵害群体，深入开展“七进”宣传，组织“生命无价 酒后禁驾”“一盔一带”“美丽乡村行”等主题宣教活动5000余场。围绕摩托车、大货车等社会关注热点，主动联系媒体策划宣传报道，加大正面引导、典型曝光，全年刊发新闻稿件6万余篇，组织集体采访、通气会、发布会100余次。</w:t>
      </w:r>
    </w:p>
    <w:p w14:paraId="74EC0F8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五、突出人民至上，全力提升交管服务水平。</w:t>
      </w:r>
      <w:r>
        <w:rPr>
          <w:rFonts w:hint="eastAsia" w:ascii="Times New Roman" w:hAnsi="Times New Roman" w:eastAsia="仿宋_GB2312" w:cs="Times New Roman"/>
          <w:b w:val="0"/>
          <w:bCs w:val="0"/>
          <w:sz w:val="32"/>
          <w:szCs w:val="32"/>
        </w:rPr>
        <w:t>紧盯民意民情，持续推出便民利企措施，服务首都高质量发展，服务保障民生。扎实做好群众诉求办理。坚持民呼我应、接诉即办，建立“每月一题”工作机制，主动解决群众高频诉求，全年承办12345派单12.4万件</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深化便民利企改革举措。落实机动车检验和二手车交易登记改革措施，30万机动车车主享受免检政策。制定43项“放管服”改革任务清单，试点推行机动车“出厂预查验”、车辆维修保养检测“一站式”服务、企业试用电子营业执照等服务举措，惠及12.5万名机动车主。对接商务、药监部门启动应急机制，服务1.2万辆物资运输货车、852辆医药物资运输车辆顺畅通行，有力做好保供稳价，助力疫情防控大局。联合市城管委等部门，扩大占道施工“非禁免批”及并联审批政策适用范围，采用“非禁免批”77项，推送“电子证照”259项，极大方便企业办理业务。</w:t>
      </w:r>
    </w:p>
    <w:bookmarkEnd w:id="31"/>
    <w:bookmarkEnd w:id="32"/>
    <w:p w14:paraId="294AC481">
      <w:pPr>
        <w:tabs>
          <w:tab w:val="left" w:pos="2880"/>
          <w:tab w:val="left" w:pos="3240"/>
        </w:tabs>
        <w:adjustRightInd w:val="0"/>
        <w:snapToGrid w:val="0"/>
        <w:spacing w:line="360" w:lineRule="auto"/>
        <w:ind w:firstLine="643"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b/>
          <w:sz w:val="32"/>
          <w:szCs w:val="32"/>
        </w:rPr>
        <w:t>产出进度方面，</w:t>
      </w:r>
      <w:r>
        <w:rPr>
          <w:rFonts w:ascii="Times New Roman" w:hAnsi="Times New Roman" w:eastAsia="仿宋_GB2312" w:cs="Times New Roman"/>
          <w:sz w:val="32"/>
          <w:szCs w:val="32"/>
        </w:rPr>
        <w:t>根据部门整体工作目标完成情况分析，</w:t>
      </w: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ascii="Times New Roman" w:hAnsi="Times New Roman" w:eastAsia="仿宋_GB2312" w:cs="Times New Roman"/>
          <w:sz w:val="32"/>
          <w:szCs w:val="32"/>
        </w:rPr>
        <w:t>能够按照计划要求完成</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年度重点工作</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。通过年度各项工作有序推进落实，有效保障了</w:t>
      </w:r>
      <w:r>
        <w:rPr>
          <w:rFonts w:hint="eastAsia" w:ascii="Times New Roman" w:hAnsi="Times New Roman" w:eastAsia="仿宋_GB2312" w:cs="Times New Roman"/>
          <w:sz w:val="32"/>
          <w:szCs w:val="32"/>
        </w:rPr>
        <w:t>各项重点工作</w:t>
      </w:r>
      <w:r>
        <w:rPr>
          <w:rFonts w:ascii="Times New Roman" w:hAnsi="Times New Roman" w:eastAsia="仿宋_GB2312" w:cs="Times New Roman"/>
          <w:sz w:val="32"/>
          <w:szCs w:val="32"/>
        </w:rPr>
        <w:t>实施进度及产出时效性。</w:t>
      </w:r>
    </w:p>
    <w:p w14:paraId="0AB2881F">
      <w:pPr>
        <w:tabs>
          <w:tab w:val="left" w:pos="2880"/>
          <w:tab w:val="left" w:pos="3240"/>
        </w:tabs>
        <w:adjustRightInd w:val="0"/>
        <w:snapToGrid w:val="0"/>
        <w:spacing w:line="360" w:lineRule="auto"/>
        <w:ind w:firstLine="643" w:firstLineChars="200"/>
        <w:rPr>
          <w:rFonts w:ascii="Times New Roman" w:hAnsi="Times New Roman" w:eastAsia="仿宋_GB2312" w:cs="Times New Roman"/>
          <w:sz w:val="32"/>
          <w:szCs w:val="32"/>
        </w:rPr>
      </w:pPr>
      <w:bookmarkStart w:id="33" w:name="_Toc72438587"/>
      <w:bookmarkStart w:id="34" w:name="_Toc102140646"/>
      <w:bookmarkStart w:id="35" w:name="_Toc102158227"/>
      <w:bookmarkStart w:id="36" w:name="_Toc72439008"/>
      <w:r>
        <w:rPr>
          <w:rFonts w:ascii="Times New Roman" w:hAnsi="Times New Roman" w:eastAsia="仿宋_GB2312" w:cs="Times New Roman"/>
          <w:b/>
          <w:bCs/>
          <w:sz w:val="32"/>
          <w:szCs w:val="32"/>
        </w:rPr>
        <w:t>产出成本</w:t>
      </w:r>
      <w:bookmarkEnd w:id="33"/>
      <w:bookmarkEnd w:id="34"/>
      <w:bookmarkEnd w:id="35"/>
      <w:bookmarkEnd w:id="36"/>
      <w:r>
        <w:rPr>
          <w:rFonts w:hint="eastAsia" w:ascii="Times New Roman" w:hAnsi="Times New Roman" w:eastAsia="仿宋_GB2312" w:cs="Times New Roman"/>
          <w:b/>
          <w:bCs/>
          <w:sz w:val="32"/>
          <w:szCs w:val="32"/>
        </w:rPr>
        <w:t>方面，</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委托业务</w:t>
      </w:r>
      <w:r>
        <w:rPr>
          <w:rFonts w:hint="eastAsia" w:ascii="Times New Roman" w:hAnsi="Times New Roman" w:eastAsia="仿宋_GB2312" w:cs="Times New Roman"/>
          <w:sz w:val="32"/>
          <w:szCs w:val="32"/>
        </w:rPr>
        <w:t>能够严格</w:t>
      </w:r>
      <w:r>
        <w:rPr>
          <w:rFonts w:ascii="Times New Roman" w:hAnsi="Times New Roman" w:eastAsia="仿宋_GB2312" w:cs="Times New Roman"/>
          <w:sz w:val="32"/>
          <w:szCs w:val="32"/>
        </w:rPr>
        <w:t>按照部门内部控制采购审批程序确定委托合同价格，合理控制部门经费支出成本；同时在部门预算执行过程中，采取厉行节约措施，有效控制各项费用支出，委托业务实际经费支出严格按合同执行，经费支出符合部门履职范围，部门总体资金支出控制在预算范围内，部门整体成本控制情况较好。</w:t>
      </w:r>
    </w:p>
    <w:p w14:paraId="51A7FAD0">
      <w:pPr>
        <w:adjustRightInd w:val="0"/>
        <w:snapToGrid w:val="0"/>
        <w:spacing w:line="360" w:lineRule="auto"/>
        <w:ind w:firstLine="640" w:firstLineChars="200"/>
        <w:outlineLvl w:val="1"/>
        <w:rPr>
          <w:rFonts w:ascii="Times New Roman" w:hAnsi="Times New Roman" w:eastAsia="楷体" w:cs="Times New Roman"/>
          <w:sz w:val="32"/>
          <w:szCs w:val="32"/>
        </w:rPr>
      </w:pPr>
      <w:bookmarkStart w:id="37" w:name="_Toc102158228"/>
      <w:bookmarkStart w:id="38" w:name="_Toc103542838"/>
      <w:r>
        <w:rPr>
          <w:rFonts w:ascii="Times New Roman" w:hAnsi="Times New Roman" w:eastAsia="楷体" w:cs="Times New Roman"/>
          <w:sz w:val="32"/>
          <w:szCs w:val="32"/>
        </w:rPr>
        <w:t>（二）效果实现情况分析</w:t>
      </w:r>
      <w:bookmarkEnd w:id="37"/>
      <w:bookmarkEnd w:id="38"/>
    </w:p>
    <w:p w14:paraId="21177F48">
      <w:pPr>
        <w:adjustRightInd w:val="0"/>
        <w:snapToGrid w:val="0"/>
        <w:spacing w:line="360" w:lineRule="auto"/>
        <w:ind w:firstLine="640" w:firstLineChars="200"/>
        <w:outlineLvl w:val="2"/>
        <w:rPr>
          <w:rFonts w:ascii="Times New Roman" w:hAnsi="Times New Roman" w:eastAsia="仿宋_GB2312" w:cs="Times New Roman"/>
          <w:bCs/>
          <w:sz w:val="32"/>
          <w:szCs w:val="32"/>
        </w:rPr>
      </w:pPr>
      <w:bookmarkStart w:id="39" w:name="_Toc102158229"/>
      <w:bookmarkStart w:id="40" w:name="_Toc102140648"/>
      <w:bookmarkStart w:id="41" w:name="_Toc72439010"/>
      <w:bookmarkStart w:id="42" w:name="_Toc103542839"/>
      <w:bookmarkStart w:id="43" w:name="_Toc72438589"/>
      <w:r>
        <w:rPr>
          <w:rFonts w:ascii="Times New Roman" w:hAnsi="Times New Roman" w:eastAsia="仿宋_GB2312" w:cs="Times New Roman"/>
          <w:bCs/>
          <w:sz w:val="32"/>
          <w:szCs w:val="32"/>
        </w:rPr>
        <w:t>1.社会效益</w:t>
      </w:r>
      <w:bookmarkEnd w:id="39"/>
      <w:bookmarkEnd w:id="40"/>
      <w:bookmarkEnd w:id="41"/>
      <w:bookmarkEnd w:id="42"/>
      <w:bookmarkEnd w:id="43"/>
    </w:p>
    <w:p w14:paraId="3BC4338A">
      <w:pPr>
        <w:adjustRightInd w:val="0"/>
        <w:snapToGrid w:val="0"/>
        <w:spacing w:line="360" w:lineRule="auto"/>
        <w:ind w:firstLine="643" w:firstLineChars="200"/>
        <w:rPr>
          <w:rFonts w:ascii="Times New Roman" w:hAnsi="Times New Roman" w:eastAsia="仿宋_GB2312" w:cs="Times New Roman"/>
          <w:sz w:val="32"/>
          <w:szCs w:val="32"/>
        </w:rPr>
      </w:pPr>
      <w:bookmarkStart w:id="44" w:name="_Toc72439011"/>
      <w:bookmarkStart w:id="45" w:name="_Toc102140649"/>
      <w:bookmarkStart w:id="46" w:name="_Toc102158230"/>
      <w:bookmarkStart w:id="47" w:name="_Toc72438590"/>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城市交通运行安全平稳，全市交通秩序环境持续向好，</w:t>
      </w:r>
      <w:r>
        <w:rPr>
          <w:rFonts w:hint="eastAsia" w:ascii="Times New Roman" w:hAnsi="Times New Roman" w:eastAsia="仿宋_GB2312" w:cs="Times New Roman"/>
          <w:sz w:val="32"/>
          <w:szCs w:val="32"/>
          <w:lang w:eastAsia="zh-CN"/>
        </w:rPr>
        <w:t>交通事故报警同比下降</w:t>
      </w:r>
      <w:r>
        <w:rPr>
          <w:rFonts w:hint="eastAsia" w:ascii="Times New Roman" w:hAnsi="Times New Roman" w:eastAsia="仿宋_GB2312" w:cs="Times New Roman"/>
          <w:sz w:val="32"/>
          <w:szCs w:val="32"/>
          <w:lang w:val="en-US" w:eastAsia="zh-CN"/>
        </w:rPr>
        <w:t>39.2%，交通事故亡人率同比下降5.4%</w:t>
      </w:r>
      <w:r>
        <w:rPr>
          <w:rFonts w:hint="eastAsia" w:ascii="Times New Roman" w:hAnsi="Times New Roman" w:eastAsia="仿宋_GB2312" w:cs="Times New Roman"/>
          <w:b w:val="0"/>
          <w:bCs w:val="0"/>
          <w:sz w:val="32"/>
          <w:szCs w:val="32"/>
        </w:rPr>
        <w:t>。“一灯一档”建立健康档案，加强全生命周期管理，信号灯故障率、群众投诉量较“五统一”前分别下降87.3%、77.8%。持续推进90条主干道路信号灯绿波带调优，整体路网通行效率提升4.7%。</w:t>
      </w:r>
    </w:p>
    <w:p w14:paraId="06DBA874">
      <w:pPr>
        <w:adjustRightInd w:val="0"/>
        <w:snapToGrid w:val="0"/>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交通综合治理取得新成效，着眼首善标准，注重机制创新、社会共治，着力提升首都交通管理品质，超标电动自行车等系列政策平稳落地，电动三四轮车等痼疾顽症启动综合治理，慢行系统建设、文明示范路口创建等重点工作取得阶段成效，信号灯统一规范管理等难点问题得到有效治理。</w:t>
      </w:r>
    </w:p>
    <w:p w14:paraId="238083A2">
      <w:pPr>
        <w:adjustRightInd w:val="0"/>
        <w:snapToGrid w:val="0"/>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交通管理服务跑出加速度，把“以人民为中心”贯穿到交管工作全环节，</w:t>
      </w:r>
      <w:r>
        <w:rPr>
          <w:rFonts w:hint="eastAsia" w:ascii="Times New Roman" w:hAnsi="Times New Roman" w:eastAsia="仿宋_GB2312" w:cs="Times New Roman"/>
          <w:b w:val="0"/>
          <w:bCs w:val="0"/>
          <w:sz w:val="32"/>
          <w:szCs w:val="32"/>
        </w:rPr>
        <w:t>推出机动车登记服务站周六日延时办公，便利群众办理业务。深化“一网通办”，实现4大类53项服务事项一站通查、一站通办，524.4万人申领电子驾驶证，互联网平台注册人数达到1264.8万人。精准服务经济社会发展。组建疫情风险区域进京货车工作专班，建立信息互通共享机制，保障210万辆次“绿通车”顺利进京</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群众获得感和满意度持续提升。</w:t>
      </w:r>
    </w:p>
    <w:p w14:paraId="23C822F7">
      <w:pPr>
        <w:adjustRightInd w:val="0"/>
        <w:snapToGrid w:val="0"/>
        <w:spacing w:line="360" w:lineRule="auto"/>
        <w:ind w:firstLine="640" w:firstLineChars="200"/>
        <w:outlineLvl w:val="2"/>
        <w:rPr>
          <w:rFonts w:hint="eastAsia" w:ascii="Times New Roman" w:hAnsi="Times New Roman" w:eastAsia="仿宋_GB2312" w:cs="Times New Roman"/>
          <w:bCs/>
          <w:sz w:val="32"/>
          <w:szCs w:val="32"/>
        </w:rPr>
      </w:pPr>
      <w:bookmarkStart w:id="48" w:name="_Toc103542840"/>
      <w:r>
        <w:rPr>
          <w:rFonts w:ascii="Times New Roman" w:hAnsi="Times New Roman" w:eastAsia="仿宋_GB2312" w:cs="Times New Roman"/>
          <w:bCs/>
          <w:sz w:val="32"/>
          <w:szCs w:val="32"/>
        </w:rPr>
        <w:t>2.服务对象满意度</w:t>
      </w:r>
      <w:bookmarkEnd w:id="44"/>
      <w:bookmarkEnd w:id="45"/>
      <w:bookmarkEnd w:id="46"/>
      <w:bookmarkEnd w:id="47"/>
      <w:bookmarkEnd w:id="48"/>
    </w:p>
    <w:p w14:paraId="6DB4BBC8">
      <w:pPr>
        <w:pStyle w:val="2"/>
        <w:adjustRightInd w:val="0"/>
        <w:snapToGrid w:val="0"/>
        <w:spacing w:line="360" w:lineRule="auto"/>
        <w:ind w:left="0" w:leftChars="0" w:firstLine="640" w:firstLineChars="200"/>
        <w:rPr>
          <w:rFonts w:ascii="Times New Roman" w:hAnsi="Times New Roman" w:cs="Times New Roman"/>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ascii="Times New Roman" w:hAnsi="Times New Roman" w:eastAsia="仿宋_GB2312" w:cs="Times New Roman"/>
          <w:sz w:val="32"/>
          <w:szCs w:val="32"/>
        </w:rPr>
        <w:t>12345</w:t>
      </w:r>
      <w:r>
        <w:rPr>
          <w:rFonts w:hint="eastAsia" w:ascii="Times New Roman" w:hAnsi="Times New Roman" w:eastAsia="仿宋_GB2312" w:cs="Times New Roman"/>
          <w:sz w:val="32"/>
          <w:szCs w:val="32"/>
        </w:rPr>
        <w:t>派单</w:t>
      </w:r>
      <w:r>
        <w:rPr>
          <w:rFonts w:ascii="Times New Roman" w:hAnsi="Times New Roman" w:eastAsia="仿宋_GB2312" w:cs="Times New Roman"/>
          <w:sz w:val="32"/>
          <w:szCs w:val="32"/>
        </w:rPr>
        <w:t>响应率始终保持100%，</w:t>
      </w:r>
      <w:r>
        <w:rPr>
          <w:rFonts w:hint="eastAsia" w:ascii="Times New Roman" w:hAnsi="Times New Roman" w:eastAsia="仿宋_GB2312" w:cs="Times New Roman"/>
          <w:b w:val="0"/>
          <w:bCs w:val="0"/>
          <w:sz w:val="32"/>
          <w:szCs w:val="32"/>
        </w:rPr>
        <w:t>平均解决率</w:t>
      </w:r>
      <w:r>
        <w:rPr>
          <w:rFonts w:hint="eastAsia" w:ascii="Times New Roman" w:hAnsi="Times New Roman" w:eastAsia="仿宋_GB2312" w:cs="Times New Roman"/>
          <w:b w:val="0"/>
          <w:bCs w:val="0"/>
          <w:sz w:val="32"/>
          <w:szCs w:val="32"/>
          <w:lang w:val="en-US" w:eastAsia="zh-CN"/>
        </w:rPr>
        <w:t>98.8</w:t>
      </w:r>
      <w:r>
        <w:rPr>
          <w:rFonts w:hint="eastAsia" w:ascii="Times New Roman" w:hAnsi="Times New Roman" w:eastAsia="仿宋_GB2312" w:cs="Times New Roman"/>
          <w:b w:val="0"/>
          <w:bCs w:val="0"/>
          <w:sz w:val="32"/>
          <w:szCs w:val="32"/>
        </w:rPr>
        <w:t>%，满意率</w:t>
      </w:r>
      <w:r>
        <w:rPr>
          <w:rFonts w:hint="eastAsia" w:ascii="Times New Roman" w:hAnsi="Times New Roman" w:eastAsia="仿宋_GB2312" w:cs="Times New Roman"/>
          <w:b w:val="0"/>
          <w:bCs w:val="0"/>
          <w:sz w:val="32"/>
          <w:szCs w:val="32"/>
          <w:lang w:val="en-US" w:eastAsia="zh-CN"/>
        </w:rPr>
        <w:t>98.3</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sz w:val="32"/>
          <w:szCs w:val="32"/>
        </w:rPr>
        <w:t>4大类53项业务实现“一网通办”，43项“放管服”举措便民惠企，车管所被评为全国一等第三名</w:t>
      </w:r>
      <w:r>
        <w:rPr>
          <w:rFonts w:ascii="Times New Roman" w:hAnsi="Times New Roman" w:eastAsia="仿宋_GB2312" w:cs="Times New Roman"/>
          <w:sz w:val="32"/>
          <w:szCs w:val="32"/>
        </w:rPr>
        <w:t>。</w:t>
      </w:r>
    </w:p>
    <w:p w14:paraId="10E5927F">
      <w:pPr>
        <w:adjustRightInd w:val="0"/>
        <w:snapToGrid w:val="0"/>
        <w:spacing w:line="360" w:lineRule="auto"/>
        <w:ind w:firstLine="640" w:firstLineChars="200"/>
        <w:jc w:val="left"/>
        <w:outlineLvl w:val="0"/>
        <w:rPr>
          <w:rFonts w:ascii="Times New Roman" w:hAnsi="Times New Roman" w:eastAsia="黑体" w:cs="Times New Roman"/>
          <w:sz w:val="32"/>
          <w:szCs w:val="32"/>
        </w:rPr>
      </w:pPr>
      <w:bookmarkStart w:id="49" w:name="_Toc103542841"/>
      <w:bookmarkStart w:id="50" w:name="_Toc102158231"/>
      <w:r>
        <w:rPr>
          <w:rFonts w:ascii="Times New Roman" w:hAnsi="Times New Roman" w:eastAsia="黑体" w:cs="Times New Roman"/>
          <w:sz w:val="32"/>
          <w:szCs w:val="32"/>
        </w:rPr>
        <w:t>四、预算管理情况</w:t>
      </w:r>
      <w:bookmarkEnd w:id="49"/>
      <w:bookmarkEnd w:id="50"/>
    </w:p>
    <w:p w14:paraId="397160E9">
      <w:pPr>
        <w:adjustRightInd w:val="0"/>
        <w:snapToGrid w:val="0"/>
        <w:spacing w:line="360" w:lineRule="auto"/>
        <w:ind w:firstLine="640" w:firstLineChars="200"/>
        <w:outlineLvl w:val="1"/>
        <w:rPr>
          <w:rFonts w:ascii="Times New Roman" w:hAnsi="Times New Roman" w:eastAsia="楷体" w:cs="Times New Roman"/>
          <w:sz w:val="32"/>
          <w:szCs w:val="32"/>
        </w:rPr>
      </w:pPr>
      <w:bookmarkStart w:id="51" w:name="_Toc102158232"/>
      <w:bookmarkStart w:id="52" w:name="_Toc103542842"/>
      <w:r>
        <w:rPr>
          <w:rFonts w:ascii="Times New Roman" w:hAnsi="Times New Roman" w:eastAsia="楷体" w:cs="Times New Roman"/>
          <w:sz w:val="32"/>
          <w:szCs w:val="32"/>
        </w:rPr>
        <w:t>（一）财务管理</w:t>
      </w:r>
      <w:bookmarkEnd w:id="51"/>
      <w:bookmarkEnd w:id="52"/>
    </w:p>
    <w:p w14:paraId="28312A52">
      <w:pPr>
        <w:adjustRightInd w:val="0"/>
        <w:snapToGrid w:val="0"/>
        <w:spacing w:line="360" w:lineRule="auto"/>
        <w:ind w:firstLine="640" w:firstLineChars="200"/>
        <w:jc w:val="left"/>
        <w:outlineLvl w:val="2"/>
        <w:rPr>
          <w:rFonts w:ascii="Times New Roman" w:hAnsi="Times New Roman" w:eastAsia="仿宋_GB2312" w:cs="Times New Roman"/>
          <w:sz w:val="32"/>
          <w:szCs w:val="32"/>
        </w:rPr>
      </w:pPr>
      <w:bookmarkStart w:id="53" w:name="_Toc72439014"/>
      <w:bookmarkStart w:id="54" w:name="_Toc102140652"/>
      <w:bookmarkStart w:id="55" w:name="_Toc102158233"/>
      <w:bookmarkStart w:id="56" w:name="_Toc72438593"/>
      <w:bookmarkStart w:id="57" w:name="_Toc103542843"/>
      <w:r>
        <w:rPr>
          <w:rFonts w:ascii="Times New Roman" w:hAnsi="Times New Roman" w:eastAsia="仿宋_GB2312" w:cs="Times New Roman"/>
          <w:sz w:val="32"/>
          <w:szCs w:val="32"/>
        </w:rPr>
        <w:t>1.财务管理制度健全性</w:t>
      </w:r>
      <w:bookmarkEnd w:id="53"/>
      <w:bookmarkEnd w:id="54"/>
      <w:bookmarkEnd w:id="55"/>
      <w:bookmarkEnd w:id="56"/>
      <w:bookmarkEnd w:id="57"/>
    </w:p>
    <w:p w14:paraId="43FE5B11">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ascii="Times New Roman" w:hAnsi="Times New Roman" w:eastAsia="仿宋_GB2312" w:cs="Times New Roman"/>
          <w:sz w:val="32"/>
          <w:szCs w:val="32"/>
        </w:rPr>
        <w:t>制定了</w:t>
      </w:r>
      <w:bookmarkStart w:id="58" w:name="_Hlk103201173"/>
      <w:r>
        <w:rPr>
          <w:rFonts w:hint="eastAsia" w:ascii="Times New Roman" w:hAnsi="Times New Roman" w:eastAsia="仿宋_GB2312" w:cs="Times New Roman"/>
          <w:sz w:val="32"/>
          <w:szCs w:val="32"/>
        </w:rPr>
        <w:t>《北京市公安局公安交通管理局财务管理暂行办法（修订）》</w:t>
      </w:r>
      <w:bookmarkEnd w:id="58"/>
      <w:r>
        <w:rPr>
          <w:rFonts w:hint="eastAsia" w:ascii="Times New Roman" w:hAnsi="Times New Roman" w:eastAsia="仿宋_GB2312" w:cs="Times New Roman"/>
          <w:sz w:val="32"/>
          <w:szCs w:val="32"/>
        </w:rPr>
        <w:t>包括预算管理、收入管理、支出管理、经费执行程序及审批权限、资产管理等，部门财务管理制度较为健全，为部门资金使用管理提供有效制度保障。</w:t>
      </w:r>
    </w:p>
    <w:p w14:paraId="7473908A">
      <w:pPr>
        <w:adjustRightInd w:val="0"/>
        <w:snapToGrid w:val="0"/>
        <w:spacing w:line="360" w:lineRule="auto"/>
        <w:ind w:firstLine="640" w:firstLineChars="200"/>
        <w:outlineLvl w:val="2"/>
        <w:rPr>
          <w:rFonts w:ascii="Times New Roman" w:hAnsi="Times New Roman" w:eastAsia="仿宋_GB2312" w:cs="Times New Roman"/>
          <w:sz w:val="32"/>
          <w:szCs w:val="32"/>
        </w:rPr>
      </w:pPr>
      <w:bookmarkStart w:id="59" w:name="_Toc72439015"/>
      <w:bookmarkStart w:id="60" w:name="_Toc103542844"/>
      <w:bookmarkStart w:id="61" w:name="_Toc102158234"/>
      <w:bookmarkStart w:id="62" w:name="_Toc102140653"/>
      <w:bookmarkStart w:id="63" w:name="_Toc72438594"/>
      <w:r>
        <w:rPr>
          <w:rFonts w:ascii="Times New Roman" w:hAnsi="Times New Roman" w:eastAsia="仿宋_GB2312" w:cs="Times New Roman"/>
          <w:sz w:val="32"/>
          <w:szCs w:val="32"/>
        </w:rPr>
        <w:t>2.资金使用合规和安全性</w:t>
      </w:r>
      <w:bookmarkEnd w:id="59"/>
      <w:bookmarkEnd w:id="60"/>
      <w:bookmarkEnd w:id="61"/>
      <w:bookmarkEnd w:id="62"/>
      <w:bookmarkEnd w:id="63"/>
    </w:p>
    <w:p w14:paraId="252212A1">
      <w:pPr>
        <w:adjustRightInd w:val="0"/>
        <w:snapToGrid w:val="0"/>
        <w:spacing w:line="360" w:lineRule="auto"/>
        <w:ind w:firstLine="640" w:firstLineChars="200"/>
      </w:pPr>
      <w:r>
        <w:rPr>
          <w:rFonts w:hint="eastAsia" w:ascii="Times New Roman" w:hAnsi="Times New Roman" w:eastAsia="仿宋_GB2312" w:cs="Times New Roman"/>
          <w:bCs/>
          <w:sz w:val="32"/>
          <w:szCs w:val="32"/>
        </w:rPr>
        <w:t>市</w:t>
      </w:r>
      <w:r>
        <w:rPr>
          <w:rFonts w:hint="eastAsia" w:ascii="Times New Roman" w:hAnsi="Times New Roman" w:eastAsia="仿宋_GB2312" w:cs="Times New Roman"/>
          <w:bCs/>
          <w:sz w:val="32"/>
          <w:szCs w:val="32"/>
          <w:lang w:eastAsia="zh-CN"/>
        </w:rPr>
        <w:t>公安交管局</w:t>
      </w:r>
      <w:r>
        <w:rPr>
          <w:rFonts w:hint="eastAsia" w:ascii="Times New Roman" w:hAnsi="Times New Roman" w:eastAsia="仿宋_GB2312" w:cs="Times New Roman"/>
          <w:sz w:val="32"/>
          <w:szCs w:val="32"/>
        </w:rPr>
        <w:t>部门预算</w:t>
      </w:r>
      <w:r>
        <w:rPr>
          <w:rFonts w:ascii="Times New Roman" w:hAnsi="Times New Roman" w:eastAsia="仿宋_GB2312" w:cs="Times New Roman"/>
          <w:sz w:val="32"/>
          <w:szCs w:val="32"/>
        </w:rPr>
        <w:t>资金管理按照《</w:t>
      </w:r>
      <w:r>
        <w:rPr>
          <w:rFonts w:hint="eastAsia" w:ascii="Times New Roman" w:hAnsi="Times New Roman" w:eastAsia="仿宋_GB2312" w:cs="Times New Roman"/>
          <w:sz w:val="32"/>
          <w:szCs w:val="32"/>
        </w:rPr>
        <w:t>北京市公安局公安交通管理局财务管理暂行办法（修订）</w:t>
      </w:r>
      <w:r>
        <w:rPr>
          <w:rFonts w:ascii="Times New Roman" w:hAnsi="Times New Roman" w:eastAsia="仿宋_GB2312" w:cs="Times New Roman"/>
          <w:sz w:val="32"/>
          <w:szCs w:val="32"/>
        </w:rPr>
        <w:t>》执行，本次评价通过部门财务抽凭，未发现截留、挤占、挪用、虚列支出等情况，资金使用合规性较好。在资金使用监管上，能够</w:t>
      </w:r>
      <w:r>
        <w:rPr>
          <w:rFonts w:hint="eastAsia" w:ascii="Times New Roman" w:hAnsi="Times New Roman" w:eastAsia="仿宋_GB2312" w:cs="Times New Roman"/>
          <w:sz w:val="32"/>
          <w:szCs w:val="32"/>
        </w:rPr>
        <w:t>有效</w:t>
      </w:r>
      <w:r>
        <w:rPr>
          <w:rFonts w:ascii="Times New Roman" w:hAnsi="Times New Roman" w:eastAsia="仿宋_GB2312" w:cs="Times New Roman"/>
          <w:sz w:val="32"/>
          <w:szCs w:val="32"/>
        </w:rPr>
        <w:t>落实重大支出集体研究制度，年度资金分配履行了相关报批手续，专项资金使用建立了专户核算、统一管理制度。会计核算方面，对项目资金进行单独建账、</w:t>
      </w:r>
      <w:r>
        <w:rPr>
          <w:rFonts w:hint="eastAsia" w:ascii="Times New Roman" w:hAnsi="Times New Roman" w:eastAsia="仿宋_GB2312" w:cs="Times New Roman"/>
          <w:sz w:val="32"/>
          <w:szCs w:val="32"/>
        </w:rPr>
        <w:t>单独</w:t>
      </w:r>
      <w:r>
        <w:rPr>
          <w:rFonts w:ascii="Times New Roman" w:hAnsi="Times New Roman" w:eastAsia="仿宋_GB2312" w:cs="Times New Roman"/>
          <w:sz w:val="32"/>
          <w:szCs w:val="32"/>
        </w:rPr>
        <w:t>核算，会计凭证资料保存完整、装订规范。</w:t>
      </w:r>
    </w:p>
    <w:p w14:paraId="3AAF8A6D">
      <w:pPr>
        <w:adjustRightInd w:val="0"/>
        <w:snapToGrid w:val="0"/>
        <w:spacing w:line="360" w:lineRule="auto"/>
        <w:ind w:firstLine="640" w:firstLineChars="200"/>
        <w:outlineLvl w:val="1"/>
        <w:rPr>
          <w:rFonts w:ascii="Times New Roman" w:hAnsi="Times New Roman" w:eastAsia="楷体" w:cs="Times New Roman"/>
          <w:sz w:val="32"/>
          <w:szCs w:val="32"/>
        </w:rPr>
      </w:pPr>
      <w:bookmarkStart w:id="64" w:name="_Toc103542845"/>
      <w:bookmarkStart w:id="65" w:name="_Toc102158235"/>
      <w:r>
        <w:rPr>
          <w:rFonts w:ascii="Times New Roman" w:hAnsi="Times New Roman" w:eastAsia="楷体" w:cs="Times New Roman"/>
          <w:sz w:val="32"/>
          <w:szCs w:val="32"/>
        </w:rPr>
        <w:t>（二）资产管理</w:t>
      </w:r>
      <w:bookmarkEnd w:id="64"/>
      <w:bookmarkEnd w:id="65"/>
    </w:p>
    <w:p w14:paraId="6D0E06CD">
      <w:pPr>
        <w:adjustRightInd w:val="0"/>
        <w:snapToGrid w:val="0"/>
        <w:spacing w:line="360" w:lineRule="auto"/>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eastAsia="zh-Hans"/>
        </w:rPr>
        <w:t>为加强资产管理，</w:t>
      </w:r>
      <w:r>
        <w:rPr>
          <w:rFonts w:hint="eastAsia" w:ascii="Times New Roman" w:hAnsi="Times New Roman" w:eastAsia="仿宋_GB2312" w:cs="Times New Roman"/>
          <w:sz w:val="32"/>
          <w:szCs w:val="32"/>
          <w:lang w:eastAsia="zh-CN"/>
        </w:rPr>
        <w:t>市公安交管局</w:t>
      </w:r>
      <w:r>
        <w:rPr>
          <w:rFonts w:ascii="Times New Roman" w:hAnsi="Times New Roman" w:eastAsia="仿宋_GB2312" w:cs="Times New Roman"/>
          <w:sz w:val="32"/>
          <w:szCs w:val="32"/>
          <w:lang w:eastAsia="zh-Hans"/>
        </w:rPr>
        <w:t>制定了</w:t>
      </w:r>
      <w:r>
        <w:rPr>
          <w:rFonts w:hint="eastAsia" w:ascii="Times New Roman" w:hAnsi="Times New Roman" w:eastAsia="仿宋_GB2312" w:cs="Times New Roman"/>
          <w:sz w:val="32"/>
          <w:szCs w:val="32"/>
          <w:lang w:eastAsia="zh-Hans"/>
        </w:rPr>
        <w:t>《北京市公安局公安交通管理局通用资产管理规定（试行）》</w:t>
      </w:r>
      <w:r>
        <w:rPr>
          <w:rFonts w:ascii="Times New Roman" w:hAnsi="Times New Roman" w:eastAsia="仿宋_GB2312" w:cs="Times New Roman"/>
          <w:sz w:val="32"/>
          <w:szCs w:val="32"/>
          <w:lang w:eastAsia="zh-Hans"/>
        </w:rPr>
        <w:t>，明确了</w:t>
      </w:r>
      <w:r>
        <w:rPr>
          <w:rFonts w:hint="eastAsia" w:ascii="Times New Roman" w:hAnsi="Times New Roman" w:eastAsia="仿宋_GB2312" w:cs="Times New Roman"/>
          <w:sz w:val="32"/>
          <w:szCs w:val="32"/>
          <w:lang w:eastAsia="zh-Hans"/>
        </w:rPr>
        <w:t>通用资产的购置配发、通用资产日常管理、通用资产处置及通用资产绩效考评相关要求。</w:t>
      </w:r>
      <w:r>
        <w:rPr>
          <w:rFonts w:hint="eastAsia" w:ascii="Times New Roman" w:hAnsi="Times New Roman" w:eastAsia="仿宋_GB2312" w:cs="Times New Roman"/>
          <w:sz w:val="32"/>
          <w:szCs w:val="32"/>
          <w:lang w:val="en-US" w:eastAsia="zh-CN"/>
        </w:rPr>
        <w:t>市公安交管局警务保障处装备资产团队为单位固定资产的实物管理部门，警务保障处财务结算中心为单位固定资产的价值管理部门，各使用单位负责固定资产的日常管理。每年预算编制时，装备资产团队负责组织编制单位固定资产购置计划和预算，严格按照批复预算执行固定资产购置，严禁超预算、超标准配置固定资产。</w:t>
      </w:r>
      <w:r>
        <w:rPr>
          <w:rFonts w:hint="eastAsia" w:ascii="Times New Roman" w:hAnsi="Times New Roman" w:eastAsia="仿宋_GB2312" w:cs="Times New Roman"/>
          <w:sz w:val="32"/>
          <w:szCs w:val="32"/>
          <w:lang w:eastAsia="zh-CN"/>
        </w:rPr>
        <w:t>市公安交管局</w:t>
      </w:r>
      <w:r>
        <w:rPr>
          <w:rFonts w:hint="eastAsia" w:ascii="Times New Roman" w:hAnsi="Times New Roman" w:eastAsia="仿宋_GB2312" w:cs="Times New Roman"/>
          <w:sz w:val="32"/>
          <w:szCs w:val="32"/>
          <w:lang w:eastAsia="zh-Hans"/>
        </w:rPr>
        <w:t>对单位固定资产定期清查，固定资产处置程序合法合规</w:t>
      </w:r>
      <w:r>
        <w:rPr>
          <w:rFonts w:hint="eastAsia" w:ascii="Times New Roman" w:hAnsi="Times New Roman" w:eastAsia="仿宋_GB2312" w:cs="Times New Roman"/>
          <w:sz w:val="32"/>
          <w:szCs w:val="32"/>
          <w:lang w:eastAsia="zh-CN"/>
        </w:rPr>
        <w:t>。</w:t>
      </w:r>
    </w:p>
    <w:p w14:paraId="62898872">
      <w:pPr>
        <w:adjustRightInd w:val="0"/>
        <w:snapToGrid w:val="0"/>
        <w:spacing w:line="360" w:lineRule="auto"/>
        <w:ind w:firstLine="640" w:firstLineChars="200"/>
        <w:outlineLvl w:val="1"/>
        <w:rPr>
          <w:rFonts w:ascii="Times New Roman" w:hAnsi="Times New Roman" w:eastAsia="楷体" w:cs="Times New Roman"/>
          <w:color w:val="000000" w:themeColor="text1"/>
          <w:sz w:val="32"/>
          <w:szCs w:val="32"/>
          <w14:textFill>
            <w14:solidFill>
              <w14:schemeClr w14:val="tx1"/>
            </w14:solidFill>
          </w14:textFill>
        </w:rPr>
      </w:pPr>
      <w:bookmarkStart w:id="66" w:name="_Toc103542846"/>
      <w:bookmarkStart w:id="67" w:name="_Toc102158236"/>
      <w:r>
        <w:rPr>
          <w:rFonts w:ascii="Times New Roman" w:hAnsi="Times New Roman" w:eastAsia="楷体" w:cs="Times New Roman"/>
          <w:color w:val="000000" w:themeColor="text1"/>
          <w:sz w:val="32"/>
          <w:szCs w:val="32"/>
          <w14:textFill>
            <w14:solidFill>
              <w14:schemeClr w14:val="tx1"/>
            </w14:solidFill>
          </w14:textFill>
        </w:rPr>
        <w:t>（三）绩效管理</w:t>
      </w:r>
      <w:bookmarkEnd w:id="66"/>
      <w:bookmarkEnd w:id="67"/>
    </w:p>
    <w:p w14:paraId="16A42D0F">
      <w:pPr>
        <w:adjustRightInd w:val="0"/>
        <w:snapToGrid w:val="0"/>
        <w:spacing w:line="360" w:lineRule="auto"/>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开展重大项目事前绩效评估，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市公安交管局</w:t>
      </w:r>
      <w:r>
        <w:rPr>
          <w:rFonts w:hint="eastAsia" w:ascii="Times New Roman" w:hAnsi="Times New Roman" w:eastAsia="仿宋_GB2312" w:cs="Times New Roman"/>
          <w:color w:val="000000" w:themeColor="text1"/>
          <w:sz w:val="32"/>
          <w:szCs w:val="32"/>
          <w14:textFill>
            <w14:solidFill>
              <w14:schemeClr w14:val="tx1"/>
            </w14:solidFill>
          </w14:textFill>
        </w:rPr>
        <w:t>根据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先有</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再申请财政资金”</w:t>
      </w:r>
      <w:r>
        <w:rPr>
          <w:rFonts w:hint="eastAsia" w:ascii="Times New Roman" w:hAnsi="Times New Roman" w:eastAsia="仿宋_GB2312" w:cs="Times New Roman"/>
          <w:color w:val="000000" w:themeColor="text1"/>
          <w:sz w:val="32"/>
          <w:szCs w:val="32"/>
          <w14:textFill>
            <w14:solidFill>
              <w14:schemeClr w14:val="tx1"/>
            </w14:solidFill>
          </w14:textFill>
        </w:rPr>
        <w:t>的相关要求，开展了新增项目事前绩效评估工作，并出具事前绩效评估报告，促进预算绩效管理端口前置。</w:t>
      </w:r>
    </w:p>
    <w:p w14:paraId="3491C421">
      <w:pPr>
        <w:adjustRightInd w:val="0"/>
        <w:snapToGrid w:val="0"/>
        <w:spacing w:line="360" w:lineRule="auto"/>
        <w:ind w:firstLine="643" w:firstLineChars="200"/>
        <w:rPr>
          <w:rFonts w:ascii="仿宋_GB2312" w:eastAsia="仿宋_GB2312"/>
          <w:sz w:val="32"/>
          <w:szCs w:val="32"/>
        </w:rPr>
      </w:pPr>
      <w:r>
        <w:rPr>
          <w:rFonts w:hint="eastAsia" w:ascii="Times New Roman" w:hAnsi="Times New Roman" w:eastAsia="仿宋_GB2312" w:cs="Times New Roman"/>
          <w:b/>
          <w:bCs/>
          <w:color w:val="000000" w:themeColor="text1"/>
          <w:sz w:val="32"/>
          <w:szCs w:val="32"/>
          <w14:textFill>
            <w14:solidFill>
              <w14:schemeClr w14:val="tx1"/>
            </w14:solidFill>
          </w14:textFill>
        </w:rPr>
        <w:t>加强绩效跟踪检查</w:t>
      </w:r>
      <w:r>
        <w:rPr>
          <w:rFonts w:hint="eastAsia" w:ascii="Times New Roman" w:hAnsi="Times New Roman" w:eastAsia="仿宋_GB2312" w:cs="Times New Roman"/>
          <w:color w:val="000000" w:themeColor="text1"/>
          <w:sz w:val="32"/>
          <w:szCs w:val="32"/>
          <w14:textFill>
            <w14:solidFill>
              <w14:schemeClr w14:val="tx1"/>
            </w14:solidFill>
          </w14:textFill>
        </w:rPr>
        <w:t>，落实半年度绩效监控工作要求</w:t>
      </w:r>
      <w:r>
        <w:rPr>
          <w:rFonts w:hint="eastAsia" w:ascii="仿宋_GB2312" w:eastAsia="仿宋_GB2312"/>
          <w:sz w:val="32"/>
          <w:szCs w:val="32"/>
        </w:rPr>
        <w:t>，以各单位预算申报材料、绩效目标申报表等资料为依据，以绩效目标为核心，围绕绩效目标的完成情况、预算执行情况开展工作，检查绩效目标实现程度，及时发现项目预算执行中的问题，向各单位集中反馈，并对于执行有偏差的项目，提出整改建议及要求。</w:t>
      </w:r>
    </w:p>
    <w:p w14:paraId="1BEA7E77">
      <w:pPr>
        <w:pStyle w:val="2"/>
        <w:adjustRightInd w:val="0"/>
        <w:snapToGrid w:val="0"/>
        <w:spacing w:line="360" w:lineRule="auto"/>
        <w:ind w:left="0" w:leftChars="0" w:firstLine="643" w:firstLineChars="200"/>
        <w:rPr>
          <w:rFonts w:ascii="仿宋_GB2312" w:eastAsia="仿宋_GB2312"/>
          <w:sz w:val="32"/>
          <w:szCs w:val="32"/>
          <w:highlight w:val="none"/>
        </w:rPr>
      </w:pP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开展部门</w:t>
      </w:r>
      <w:r>
        <w:rPr>
          <w:rFonts w:ascii="Times New Roman" w:hAnsi="Times New Roman" w:eastAsia="仿宋_GB2312" w:cs="Times New Roman"/>
          <w:b/>
          <w:bCs/>
          <w:color w:val="000000" w:themeColor="text1"/>
          <w:sz w:val="32"/>
          <w:szCs w:val="32"/>
          <w:highlight w:val="none"/>
          <w14:textFill>
            <w14:solidFill>
              <w14:schemeClr w14:val="tx1"/>
            </w14:solidFill>
          </w14:textFill>
        </w:rPr>
        <w:t>绩效评价</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市公安交管局</w:t>
      </w:r>
      <w:r>
        <w:rPr>
          <w:rFonts w:hint="eastAsia" w:ascii="仿宋_GB2312" w:eastAsia="仿宋_GB2312"/>
          <w:sz w:val="32"/>
          <w:szCs w:val="32"/>
          <w:highlight w:val="none"/>
        </w:rPr>
        <w:t>依据《2023年推进全面实施预算绩效管理工作的预通知》文件要求，对部门</w:t>
      </w:r>
      <w:r>
        <w:rPr>
          <w:rFonts w:hint="eastAsia" w:ascii="仿宋_GB2312" w:eastAsia="仿宋_GB2312"/>
          <w:sz w:val="32"/>
          <w:szCs w:val="32"/>
          <w:highlight w:val="none"/>
          <w:lang w:eastAsia="zh-CN"/>
        </w:rPr>
        <w:t>2022</w:t>
      </w:r>
      <w:r>
        <w:rPr>
          <w:rFonts w:hint="eastAsia" w:ascii="仿宋_GB2312" w:eastAsia="仿宋_GB2312"/>
          <w:sz w:val="32"/>
          <w:szCs w:val="32"/>
          <w:highlight w:val="none"/>
        </w:rPr>
        <w:t>年所有填报绩效目标的项目开展了绩效自评，并及时报送绩效自评成果。</w:t>
      </w:r>
    </w:p>
    <w:p w14:paraId="04141F5C">
      <w:pPr>
        <w:adjustRightInd w:val="0"/>
        <w:snapToGrid w:val="0"/>
        <w:spacing w:line="360" w:lineRule="auto"/>
        <w:ind w:firstLine="640" w:firstLineChars="200"/>
        <w:outlineLvl w:val="1"/>
        <w:rPr>
          <w:rFonts w:ascii="Times New Roman" w:hAnsi="Times New Roman" w:eastAsia="楷体" w:cs="Times New Roman"/>
          <w:sz w:val="32"/>
          <w:szCs w:val="32"/>
        </w:rPr>
      </w:pPr>
      <w:bookmarkStart w:id="68" w:name="_Toc103542847"/>
      <w:bookmarkStart w:id="69" w:name="_Toc102158237"/>
      <w:r>
        <w:rPr>
          <w:rFonts w:ascii="Times New Roman" w:hAnsi="Times New Roman" w:eastAsia="楷体" w:cs="Times New Roman"/>
          <w:sz w:val="32"/>
          <w:szCs w:val="32"/>
        </w:rPr>
        <w:t>（四）结转结余率</w:t>
      </w:r>
      <w:bookmarkEnd w:id="68"/>
      <w:bookmarkEnd w:id="69"/>
    </w:p>
    <w:p w14:paraId="0DAEB4C6">
      <w:pPr>
        <w:adjustRightInd w:val="0"/>
        <w:snapToGrid w:val="0"/>
        <w:spacing w:line="360" w:lineRule="auto"/>
        <w:ind w:firstLine="640" w:firstLineChars="200"/>
        <w:rPr>
          <w:rFonts w:ascii="Times New Roman" w:hAnsi="Times New Roman" w:eastAsia="仿宋_GB2312" w:cs="Times New Roman"/>
          <w:sz w:val="32"/>
          <w:szCs w:val="32"/>
          <w:highlight w:val="none"/>
          <w:lang w:eastAsia="zh-Hans"/>
        </w:rPr>
      </w:pPr>
      <w:r>
        <w:rPr>
          <w:rFonts w:ascii="Times New Roman" w:hAnsi="Times New Roman" w:eastAsia="仿宋_GB2312" w:cs="Times New Roman"/>
          <w:sz w:val="32"/>
          <w:szCs w:val="32"/>
          <w:highlight w:val="none"/>
          <w:lang w:eastAsia="zh-Hans"/>
        </w:rPr>
        <w:t>20</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lang w:eastAsia="zh-Hans"/>
        </w:rPr>
        <w:t>年部门年末结转结余资金总额为</w:t>
      </w:r>
      <w:r>
        <w:rPr>
          <w:rFonts w:hint="eastAsia" w:ascii="Times New Roman" w:hAnsi="Times New Roman" w:eastAsia="仿宋_GB2312" w:cs="Times New Roman"/>
          <w:sz w:val="32"/>
          <w:szCs w:val="32"/>
          <w:highlight w:val="none"/>
        </w:rPr>
        <w:t>63706.45</w:t>
      </w:r>
      <w:r>
        <w:rPr>
          <w:rFonts w:ascii="Times New Roman" w:hAnsi="Times New Roman" w:eastAsia="仿宋_GB2312" w:cs="Times New Roman"/>
          <w:sz w:val="32"/>
          <w:szCs w:val="32"/>
          <w:highlight w:val="none"/>
          <w:lang w:eastAsia="zh-Hans"/>
        </w:rPr>
        <w:t>万元，全年支出预算数为</w:t>
      </w:r>
      <w:r>
        <w:rPr>
          <w:rFonts w:hint="eastAsia" w:ascii="Times New Roman" w:hAnsi="Times New Roman" w:eastAsia="仿宋_GB2312" w:cs="Times New Roman"/>
          <w:sz w:val="32"/>
          <w:szCs w:val="32"/>
          <w:highlight w:val="none"/>
        </w:rPr>
        <w:t>566065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30</w:t>
      </w:r>
      <w:r>
        <w:rPr>
          <w:rFonts w:ascii="Times New Roman" w:hAnsi="Times New Roman" w:eastAsia="仿宋_GB2312" w:cs="Times New Roman"/>
          <w:sz w:val="32"/>
          <w:szCs w:val="32"/>
          <w:highlight w:val="none"/>
          <w:lang w:eastAsia="zh-Hans"/>
        </w:rPr>
        <w:t>万元，</w:t>
      </w:r>
      <w:r>
        <w:rPr>
          <w:rFonts w:hint="eastAsia" w:ascii="Times New Roman" w:hAnsi="Times New Roman" w:eastAsia="仿宋_GB2312" w:cs="Times New Roman"/>
          <w:sz w:val="32"/>
          <w:szCs w:val="32"/>
          <w:highlight w:val="none"/>
          <w:lang w:eastAsia="zh-Hans"/>
        </w:rPr>
        <w:t>部门资金</w:t>
      </w:r>
      <w:r>
        <w:rPr>
          <w:rFonts w:ascii="Times New Roman" w:hAnsi="Times New Roman" w:eastAsia="仿宋_GB2312" w:cs="Times New Roman"/>
          <w:sz w:val="32"/>
          <w:szCs w:val="32"/>
          <w:highlight w:val="none"/>
          <w:lang w:eastAsia="zh-Hans"/>
        </w:rPr>
        <w:t>结转结余率</w:t>
      </w:r>
      <w:r>
        <w:rPr>
          <w:rFonts w:ascii="Times New Roman" w:hAnsi="Times New Roman" w:eastAsia="仿宋_GB2312" w:cs="Times New Roman"/>
          <w:sz w:val="32"/>
          <w:szCs w:val="32"/>
          <w:highlight w:val="none"/>
        </w:rPr>
        <w:t>为</w:t>
      </w:r>
      <w:bookmarkStart w:id="70" w:name="_Hlk103285472"/>
      <w:r>
        <w:rPr>
          <w:rFonts w:hint="eastAsia" w:ascii="Times New Roman" w:hAnsi="Times New Roman" w:eastAsia="仿宋_GB2312" w:cs="Times New Roman"/>
          <w:sz w:val="32"/>
          <w:szCs w:val="32"/>
          <w:highlight w:val="none"/>
          <w:lang w:val="en-US" w:eastAsia="zh-CN"/>
        </w:rPr>
        <w:t>11.25</w:t>
      </w:r>
      <w:r>
        <w:rPr>
          <w:rFonts w:ascii="Times New Roman" w:hAnsi="Times New Roman" w:eastAsia="仿宋_GB2312" w:cs="Times New Roman"/>
          <w:sz w:val="32"/>
          <w:szCs w:val="32"/>
          <w:highlight w:val="none"/>
        </w:rPr>
        <w:t>%</w:t>
      </w:r>
      <w:bookmarkEnd w:id="70"/>
      <w:r>
        <w:rPr>
          <w:rFonts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lang w:eastAsia="zh-Hans"/>
        </w:rPr>
        <w:t>年</w:t>
      </w:r>
      <w:r>
        <w:rPr>
          <w:rFonts w:hint="eastAsia" w:ascii="Times New Roman" w:hAnsi="Times New Roman" w:eastAsia="仿宋_GB2312" w:cs="Times New Roman"/>
          <w:bCs/>
          <w:sz w:val="32"/>
          <w:szCs w:val="32"/>
          <w:highlight w:val="none"/>
          <w:lang w:eastAsia="zh-CN"/>
        </w:rPr>
        <w:t>市公安交管局</w:t>
      </w:r>
      <w:r>
        <w:rPr>
          <w:rFonts w:ascii="Times New Roman" w:hAnsi="Times New Roman" w:eastAsia="仿宋_GB2312" w:cs="Times New Roman"/>
          <w:sz w:val="32"/>
          <w:szCs w:val="32"/>
          <w:highlight w:val="none"/>
          <w:lang w:eastAsia="zh-Hans"/>
        </w:rPr>
        <w:t>年末结转结余资金总额为37649.98万元，全年支出预算数为516758.20万元，</w:t>
      </w:r>
      <w:r>
        <w:rPr>
          <w:rFonts w:hint="eastAsia" w:ascii="Times New Roman" w:hAnsi="Times New Roman" w:eastAsia="仿宋_GB2312" w:cs="Times New Roman"/>
          <w:sz w:val="32"/>
          <w:szCs w:val="32"/>
          <w:highlight w:val="none"/>
          <w:lang w:eastAsia="zh-Hans"/>
        </w:rPr>
        <w:t>部门</w:t>
      </w:r>
      <w:r>
        <w:rPr>
          <w:rFonts w:ascii="Times New Roman" w:hAnsi="Times New Roman" w:eastAsia="仿宋_GB2312" w:cs="Times New Roman"/>
          <w:sz w:val="32"/>
          <w:szCs w:val="32"/>
          <w:highlight w:val="none"/>
          <w:lang w:eastAsia="zh-Hans"/>
        </w:rPr>
        <w:t>资金结转结余率为</w:t>
      </w:r>
      <w:bookmarkStart w:id="71" w:name="_Hlk103285422"/>
      <w:r>
        <w:rPr>
          <w:rFonts w:ascii="Times New Roman" w:hAnsi="Times New Roman" w:eastAsia="仿宋_GB2312" w:cs="Times New Roman"/>
          <w:sz w:val="32"/>
          <w:szCs w:val="32"/>
          <w:highlight w:val="none"/>
          <w:lang w:eastAsia="zh-Hans"/>
        </w:rPr>
        <w:t>7.29%</w:t>
      </w:r>
      <w:bookmarkEnd w:id="71"/>
      <w:r>
        <w:rPr>
          <w:rFonts w:hint="eastAsia" w:ascii="Times New Roman" w:hAnsi="Times New Roman" w:eastAsia="仿宋_GB2312" w:cs="Times New Roman"/>
          <w:sz w:val="32"/>
          <w:szCs w:val="32"/>
          <w:highlight w:val="none"/>
          <w:lang w:eastAsia="zh-Hans"/>
        </w:rPr>
        <w:t>。</w:t>
      </w:r>
      <w:r>
        <w:rPr>
          <w:rFonts w:hint="eastAsia" w:ascii="Times New Roman" w:hAnsi="Times New Roman" w:eastAsia="仿宋_GB2312" w:cs="Times New Roman"/>
          <w:sz w:val="32"/>
          <w:szCs w:val="32"/>
          <w:highlight w:val="none"/>
          <w:lang w:eastAsia="zh-CN"/>
        </w:rPr>
        <w:t>2022</w:t>
      </w:r>
      <w:r>
        <w:rPr>
          <w:rFonts w:ascii="Times New Roman" w:hAnsi="Times New Roman" w:eastAsia="仿宋_GB2312" w:cs="Times New Roman"/>
          <w:sz w:val="32"/>
          <w:szCs w:val="32"/>
          <w:highlight w:val="none"/>
          <w:lang w:eastAsia="zh-Hans"/>
        </w:rPr>
        <w:t>年度部门结转结余率较上一年度</w:t>
      </w:r>
      <w:r>
        <w:rPr>
          <w:rFonts w:ascii="Times New Roman" w:hAnsi="Times New Roman" w:eastAsia="仿宋_GB2312" w:cs="Times New Roman"/>
          <w:sz w:val="32"/>
          <w:szCs w:val="32"/>
          <w:highlight w:val="none"/>
        </w:rPr>
        <w:t>增加</w:t>
      </w:r>
      <w:r>
        <w:rPr>
          <w:rFonts w:hint="eastAsia" w:ascii="Times New Roman" w:hAnsi="Times New Roman" w:eastAsia="仿宋_GB2312" w:cs="Times New Roman"/>
          <w:sz w:val="32"/>
          <w:szCs w:val="32"/>
          <w:highlight w:val="none"/>
          <w:lang w:val="en-US" w:eastAsia="zh-CN"/>
        </w:rPr>
        <w:t>3.96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p>
    <w:p w14:paraId="01F3F878">
      <w:pPr>
        <w:adjustRightInd w:val="0"/>
        <w:snapToGrid w:val="0"/>
        <w:spacing w:line="360" w:lineRule="auto"/>
        <w:ind w:firstLine="640" w:firstLineChars="200"/>
        <w:outlineLvl w:val="1"/>
        <w:rPr>
          <w:rFonts w:ascii="Times New Roman" w:hAnsi="Times New Roman" w:eastAsia="楷体" w:cs="Times New Roman"/>
          <w:sz w:val="32"/>
          <w:szCs w:val="32"/>
        </w:rPr>
      </w:pPr>
      <w:bookmarkStart w:id="72" w:name="_Toc103542848"/>
      <w:bookmarkStart w:id="73" w:name="_Toc102158238"/>
      <w:r>
        <w:rPr>
          <w:rFonts w:ascii="Times New Roman" w:hAnsi="Times New Roman" w:eastAsia="楷体" w:cs="Times New Roman"/>
          <w:sz w:val="32"/>
          <w:szCs w:val="32"/>
        </w:rPr>
        <w:t>（五）部门预决算差异率</w:t>
      </w:r>
      <w:bookmarkEnd w:id="72"/>
      <w:bookmarkEnd w:id="73"/>
    </w:p>
    <w:p w14:paraId="6C56756A">
      <w:pPr>
        <w:adjustRightInd w:val="0"/>
        <w:snapToGrid w:val="0"/>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2022</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bCs/>
          <w:sz w:val="32"/>
          <w:szCs w:val="32"/>
          <w:highlight w:val="none"/>
          <w:lang w:eastAsia="zh-CN"/>
        </w:rPr>
        <w:t>市公安交管局</w:t>
      </w:r>
      <w:r>
        <w:rPr>
          <w:rFonts w:ascii="Times New Roman" w:hAnsi="Times New Roman" w:eastAsia="仿宋_GB2312" w:cs="Times New Roman"/>
          <w:sz w:val="32"/>
          <w:szCs w:val="32"/>
          <w:highlight w:val="none"/>
        </w:rPr>
        <w:t>年初预算数为</w:t>
      </w:r>
      <w:r>
        <w:rPr>
          <w:rFonts w:hint="eastAsia" w:ascii="Times New Roman" w:hAnsi="Times New Roman" w:eastAsia="仿宋_GB2312" w:cs="Times New Roman"/>
          <w:sz w:val="32"/>
          <w:szCs w:val="32"/>
          <w:highlight w:val="none"/>
        </w:rPr>
        <w:t>493494.46</w:t>
      </w:r>
      <w:r>
        <w:rPr>
          <w:rFonts w:ascii="Times New Roman" w:hAnsi="Times New Roman" w:eastAsia="仿宋_GB2312" w:cs="Times New Roman"/>
          <w:sz w:val="32"/>
          <w:szCs w:val="32"/>
          <w:highlight w:val="none"/>
        </w:rPr>
        <w:t>万元，部门年度决算数为</w:t>
      </w:r>
      <w:r>
        <w:rPr>
          <w:rFonts w:hint="eastAsia" w:ascii="Times New Roman" w:hAnsi="Times New Roman" w:eastAsia="仿宋_GB2312" w:cs="Times New Roman"/>
          <w:sz w:val="32"/>
          <w:szCs w:val="32"/>
          <w:highlight w:val="none"/>
        </w:rPr>
        <w:t>494885.23</w:t>
      </w:r>
      <w:r>
        <w:rPr>
          <w:rFonts w:ascii="Times New Roman" w:hAnsi="Times New Roman" w:eastAsia="仿宋_GB2312" w:cs="Times New Roman"/>
          <w:sz w:val="32"/>
          <w:szCs w:val="32"/>
          <w:highlight w:val="none"/>
        </w:rPr>
        <w:t>万元，部门</w:t>
      </w:r>
      <w:r>
        <w:rPr>
          <w:rFonts w:hint="eastAsia" w:ascii="Times New Roman" w:hAnsi="Times New Roman" w:eastAsia="仿宋_GB2312" w:cs="Times New Roman"/>
          <w:sz w:val="32"/>
          <w:szCs w:val="32"/>
          <w:highlight w:val="none"/>
        </w:rPr>
        <w:t>资金</w:t>
      </w:r>
      <w:r>
        <w:rPr>
          <w:rFonts w:ascii="Times New Roman" w:hAnsi="Times New Roman" w:eastAsia="仿宋_GB2312" w:cs="Times New Roman"/>
          <w:sz w:val="32"/>
          <w:szCs w:val="32"/>
          <w:highlight w:val="none"/>
        </w:rPr>
        <w:t>预决算差异率</w:t>
      </w:r>
      <w:r>
        <w:rPr>
          <w:rFonts w:hint="eastAsia" w:ascii="Times New Roman" w:hAnsi="Times New Roman" w:eastAsia="仿宋_GB2312" w:cs="Times New Roman"/>
          <w:sz w:val="32"/>
          <w:szCs w:val="32"/>
          <w:highlight w:val="none"/>
          <w:lang w:val="en-US" w:eastAsia="zh-CN"/>
        </w:rPr>
        <w:t>0.28</w:t>
      </w:r>
      <w:r>
        <w:rPr>
          <w:rFonts w:ascii="Times New Roman" w:hAnsi="Times New Roman" w:eastAsia="仿宋_GB2312" w:cs="Times New Roman"/>
          <w:sz w:val="32"/>
          <w:szCs w:val="32"/>
          <w:highlight w:val="none"/>
        </w:rPr>
        <w:t>%，部门预决算差异率远低于市级平均差异率28.30%，部门预决算差异率控制情况较好。</w:t>
      </w:r>
    </w:p>
    <w:p w14:paraId="4BC200C4">
      <w:pPr>
        <w:adjustRightInd w:val="0"/>
        <w:snapToGrid w:val="0"/>
        <w:spacing w:line="360" w:lineRule="auto"/>
        <w:ind w:firstLine="640" w:firstLineChars="200"/>
        <w:jc w:val="left"/>
        <w:outlineLvl w:val="0"/>
        <w:rPr>
          <w:rFonts w:ascii="Times New Roman" w:hAnsi="Times New Roman" w:eastAsia="黑体" w:cs="Times New Roman"/>
          <w:sz w:val="32"/>
          <w:szCs w:val="32"/>
        </w:rPr>
      </w:pPr>
      <w:bookmarkStart w:id="74" w:name="_Toc103542849"/>
      <w:bookmarkStart w:id="75" w:name="_Toc102158239"/>
      <w:r>
        <w:rPr>
          <w:rFonts w:ascii="Times New Roman" w:hAnsi="Times New Roman" w:eastAsia="黑体" w:cs="Times New Roman"/>
          <w:sz w:val="32"/>
          <w:szCs w:val="32"/>
        </w:rPr>
        <w:t>五、总体评价结论</w:t>
      </w:r>
      <w:bookmarkEnd w:id="74"/>
      <w:bookmarkEnd w:id="75"/>
    </w:p>
    <w:p w14:paraId="0AF4245F">
      <w:pPr>
        <w:adjustRightInd w:val="0"/>
        <w:snapToGrid w:val="0"/>
        <w:spacing w:line="360" w:lineRule="auto"/>
        <w:ind w:firstLine="640" w:firstLineChars="200"/>
        <w:outlineLvl w:val="1"/>
        <w:rPr>
          <w:rFonts w:ascii="Times New Roman" w:hAnsi="Times New Roman" w:eastAsia="楷体" w:cs="Times New Roman"/>
          <w:sz w:val="32"/>
          <w:szCs w:val="32"/>
        </w:rPr>
      </w:pPr>
      <w:bookmarkStart w:id="76" w:name="_Toc103542850"/>
      <w:bookmarkStart w:id="77" w:name="_Toc102158240"/>
      <w:bookmarkStart w:id="78" w:name="_Hlk72426764"/>
      <w:r>
        <w:rPr>
          <w:rFonts w:ascii="Times New Roman" w:hAnsi="Times New Roman" w:eastAsia="楷体" w:cs="Times New Roman"/>
          <w:sz w:val="32"/>
          <w:szCs w:val="32"/>
        </w:rPr>
        <w:t>（一）评价得分情况</w:t>
      </w:r>
      <w:bookmarkEnd w:id="76"/>
      <w:bookmarkEnd w:id="77"/>
    </w:p>
    <w:bookmarkEnd w:id="78"/>
    <w:p w14:paraId="7D2698CB">
      <w:pPr>
        <w:adjustRightInd w:val="0"/>
        <w:snapToGrid w:val="0"/>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2022</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bCs/>
          <w:sz w:val="32"/>
          <w:szCs w:val="32"/>
          <w:highlight w:val="none"/>
          <w:lang w:eastAsia="zh-CN"/>
        </w:rPr>
        <w:t>市公安交管局</w:t>
      </w:r>
      <w:r>
        <w:rPr>
          <w:rFonts w:ascii="Times New Roman" w:hAnsi="Times New Roman" w:eastAsia="仿宋_GB2312" w:cs="Times New Roman"/>
          <w:sz w:val="32"/>
          <w:szCs w:val="32"/>
          <w:highlight w:val="none"/>
        </w:rPr>
        <w:t>部门整体绩效评价得分为9</w:t>
      </w:r>
      <w:r>
        <w:rPr>
          <w:rFonts w:hint="eastAsia" w:ascii="Times New Roman" w:hAnsi="Times New Roman" w:eastAsia="仿宋_GB2312" w:cs="Times New Roman"/>
          <w:sz w:val="32"/>
          <w:szCs w:val="32"/>
          <w:highlight w:val="none"/>
          <w:lang w:val="en-US" w:eastAsia="zh-CN"/>
        </w:rPr>
        <w:t>4.35</w:t>
      </w:r>
      <w:r>
        <w:rPr>
          <w:rFonts w:ascii="Times New Roman" w:hAnsi="Times New Roman" w:eastAsia="仿宋_GB2312" w:cs="Times New Roman"/>
          <w:sz w:val="32"/>
          <w:szCs w:val="32"/>
          <w:highlight w:val="none"/>
        </w:rPr>
        <w:t>分，综合评价等级为“优”，各一级指标得分情况如下</w:t>
      </w:r>
      <w:r>
        <w:rPr>
          <w:rFonts w:hint="eastAsia" w:ascii="Times New Roman" w:hAnsi="Times New Roman" w:eastAsia="仿宋_GB2312" w:cs="Times New Roman"/>
          <w:sz w:val="32"/>
          <w:szCs w:val="32"/>
          <w:highlight w:val="none"/>
          <w:lang w:val="en-US" w:eastAsia="zh-CN"/>
        </w:rPr>
        <w:t>表</w:t>
      </w:r>
      <w:r>
        <w:rPr>
          <w:rFonts w:ascii="Times New Roman" w:hAnsi="Times New Roman" w:eastAsia="仿宋_GB2312" w:cs="Times New Roman"/>
          <w:sz w:val="32"/>
          <w:szCs w:val="32"/>
          <w:highlight w:val="none"/>
        </w:rPr>
        <w:t>：</w:t>
      </w:r>
    </w:p>
    <w:p w14:paraId="2447C851">
      <w:pPr>
        <w:adjustRightInd w:val="0"/>
        <w:snapToGrid w:val="0"/>
        <w:spacing w:line="360" w:lineRule="auto"/>
        <w:jc w:val="center"/>
        <w:rPr>
          <w:rFonts w:ascii="Times New Roman" w:hAnsi="Times New Roman" w:eastAsia="黑体" w:cs="Times New Roman"/>
          <w:sz w:val="22"/>
          <w:highlight w:val="none"/>
        </w:rPr>
      </w:pPr>
      <w:r>
        <w:rPr>
          <w:rFonts w:ascii="Times New Roman" w:hAnsi="Times New Roman" w:eastAsia="黑体" w:cs="Times New Roman"/>
          <w:bCs/>
          <w:sz w:val="28"/>
          <w:szCs w:val="28"/>
          <w:highlight w:val="none"/>
        </w:rPr>
        <w:t>表</w:t>
      </w:r>
      <w:r>
        <w:rPr>
          <w:rFonts w:hint="eastAsia" w:ascii="Times New Roman" w:hAnsi="Times New Roman" w:eastAsia="黑体" w:cs="Times New Roman"/>
          <w:bCs/>
          <w:sz w:val="28"/>
          <w:szCs w:val="28"/>
          <w:highlight w:val="none"/>
          <w:lang w:val="en-US" w:eastAsia="zh-CN"/>
        </w:rPr>
        <w:t>3</w:t>
      </w:r>
      <w:r>
        <w:rPr>
          <w:rFonts w:hint="eastAsia" w:ascii="Times New Roman" w:hAnsi="Times New Roman" w:eastAsia="黑体" w:cs="Times New Roman"/>
          <w:bCs/>
          <w:sz w:val="28"/>
          <w:szCs w:val="28"/>
          <w:highlight w:val="none"/>
        </w:rPr>
        <w:t>：</w:t>
      </w:r>
      <w:r>
        <w:rPr>
          <w:rFonts w:hint="eastAsia" w:ascii="Times New Roman" w:hAnsi="Times New Roman" w:eastAsia="黑体" w:cs="Times New Roman"/>
          <w:bCs/>
          <w:sz w:val="28"/>
          <w:szCs w:val="28"/>
          <w:highlight w:val="none"/>
          <w:lang w:eastAsia="zh-CN"/>
        </w:rPr>
        <w:t>2022</w:t>
      </w:r>
      <w:r>
        <w:rPr>
          <w:rFonts w:ascii="Times New Roman" w:hAnsi="Times New Roman" w:eastAsia="黑体" w:cs="Times New Roman"/>
          <w:bCs/>
          <w:sz w:val="28"/>
          <w:szCs w:val="28"/>
          <w:highlight w:val="none"/>
        </w:rPr>
        <w:t>年</w:t>
      </w:r>
      <w:r>
        <w:rPr>
          <w:rFonts w:hint="eastAsia" w:ascii="Times New Roman" w:hAnsi="Times New Roman" w:eastAsia="黑体" w:cs="Times New Roman"/>
          <w:bCs/>
          <w:sz w:val="28"/>
          <w:szCs w:val="28"/>
          <w:highlight w:val="none"/>
          <w:lang w:eastAsia="zh-CN"/>
        </w:rPr>
        <w:t>市公安交管局</w:t>
      </w:r>
      <w:r>
        <w:rPr>
          <w:rFonts w:ascii="Times New Roman" w:hAnsi="Times New Roman" w:eastAsia="黑体" w:cs="Times New Roman"/>
          <w:bCs/>
          <w:sz w:val="28"/>
          <w:szCs w:val="28"/>
          <w:highlight w:val="none"/>
        </w:rPr>
        <w:t>部门整体绩效得分情况表</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861"/>
        <w:gridCol w:w="2303"/>
        <w:gridCol w:w="2141"/>
      </w:tblGrid>
      <w:tr w14:paraId="24AC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2" w:type="dxa"/>
            <w:vAlign w:val="center"/>
          </w:tcPr>
          <w:p w14:paraId="08227F28">
            <w:pPr>
              <w:jc w:val="center"/>
              <w:rPr>
                <w:rFonts w:ascii="Times New Roman" w:hAnsi="Times New Roman" w:eastAsia="宋体" w:cs="Times New Roman"/>
                <w:b/>
                <w:bCs/>
                <w:sz w:val="20"/>
                <w:szCs w:val="20"/>
                <w:highlight w:val="none"/>
              </w:rPr>
            </w:pPr>
            <w:r>
              <w:rPr>
                <w:rFonts w:ascii="Times New Roman" w:hAnsi="Times New Roman" w:eastAsia="宋体" w:cs="Times New Roman"/>
                <w:b/>
                <w:bCs/>
                <w:sz w:val="20"/>
                <w:szCs w:val="20"/>
                <w:highlight w:val="none"/>
              </w:rPr>
              <w:t>一级指标</w:t>
            </w:r>
          </w:p>
        </w:tc>
        <w:tc>
          <w:tcPr>
            <w:tcW w:w="1861" w:type="dxa"/>
            <w:vAlign w:val="center"/>
          </w:tcPr>
          <w:p w14:paraId="643791B8">
            <w:pPr>
              <w:jc w:val="center"/>
              <w:rPr>
                <w:rFonts w:ascii="Times New Roman" w:hAnsi="Times New Roman" w:eastAsia="宋体" w:cs="Times New Roman"/>
                <w:b/>
                <w:bCs/>
                <w:sz w:val="20"/>
                <w:szCs w:val="20"/>
                <w:highlight w:val="none"/>
              </w:rPr>
            </w:pPr>
            <w:r>
              <w:rPr>
                <w:rFonts w:ascii="Times New Roman" w:hAnsi="Times New Roman" w:eastAsia="宋体" w:cs="Times New Roman"/>
                <w:b/>
                <w:bCs/>
                <w:sz w:val="20"/>
                <w:szCs w:val="20"/>
                <w:highlight w:val="none"/>
              </w:rPr>
              <w:t>分值</w:t>
            </w:r>
          </w:p>
        </w:tc>
        <w:tc>
          <w:tcPr>
            <w:tcW w:w="2303" w:type="dxa"/>
            <w:vAlign w:val="center"/>
          </w:tcPr>
          <w:p w14:paraId="4B880194">
            <w:pPr>
              <w:jc w:val="center"/>
              <w:rPr>
                <w:rFonts w:ascii="Times New Roman" w:hAnsi="Times New Roman" w:eastAsia="宋体" w:cs="Times New Roman"/>
                <w:b/>
                <w:bCs/>
                <w:sz w:val="20"/>
                <w:szCs w:val="20"/>
                <w:highlight w:val="none"/>
              </w:rPr>
            </w:pPr>
            <w:r>
              <w:rPr>
                <w:rFonts w:ascii="Times New Roman" w:hAnsi="Times New Roman" w:eastAsia="宋体" w:cs="Times New Roman"/>
                <w:b/>
                <w:bCs/>
                <w:sz w:val="20"/>
                <w:szCs w:val="20"/>
                <w:highlight w:val="none"/>
              </w:rPr>
              <w:t>得分</w:t>
            </w:r>
          </w:p>
        </w:tc>
        <w:tc>
          <w:tcPr>
            <w:tcW w:w="2141" w:type="dxa"/>
            <w:vAlign w:val="center"/>
          </w:tcPr>
          <w:p w14:paraId="456084BB">
            <w:pPr>
              <w:jc w:val="center"/>
              <w:rPr>
                <w:rFonts w:ascii="Times New Roman" w:hAnsi="Times New Roman" w:eastAsia="宋体" w:cs="Times New Roman"/>
                <w:b/>
                <w:bCs/>
                <w:sz w:val="20"/>
                <w:szCs w:val="20"/>
                <w:highlight w:val="none"/>
              </w:rPr>
            </w:pPr>
            <w:r>
              <w:rPr>
                <w:rFonts w:ascii="Times New Roman" w:hAnsi="Times New Roman" w:eastAsia="宋体" w:cs="Times New Roman"/>
                <w:b/>
                <w:bCs/>
                <w:sz w:val="20"/>
                <w:szCs w:val="20"/>
                <w:highlight w:val="none"/>
              </w:rPr>
              <w:t>得分率</w:t>
            </w:r>
          </w:p>
        </w:tc>
      </w:tr>
      <w:tr w14:paraId="1B9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2" w:type="dxa"/>
            <w:vAlign w:val="center"/>
          </w:tcPr>
          <w:p w14:paraId="3708F2F5">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当年预算执行情况</w:t>
            </w:r>
          </w:p>
        </w:tc>
        <w:tc>
          <w:tcPr>
            <w:tcW w:w="1861" w:type="dxa"/>
            <w:vAlign w:val="center"/>
          </w:tcPr>
          <w:p w14:paraId="6E6EAC45">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20</w:t>
            </w:r>
          </w:p>
        </w:tc>
        <w:tc>
          <w:tcPr>
            <w:tcW w:w="2303" w:type="dxa"/>
            <w:vAlign w:val="center"/>
          </w:tcPr>
          <w:p w14:paraId="2E29FD3A">
            <w:pPr>
              <w:jc w:val="center"/>
              <w:rPr>
                <w:rFonts w:hint="default" w:ascii="Times New Roman" w:hAnsi="Times New Roman" w:eastAsia="宋体" w:cs="Times New Roman"/>
                <w:sz w:val="20"/>
                <w:szCs w:val="20"/>
                <w:highlight w:val="none"/>
                <w:lang w:val="en-US" w:eastAsia="zh-CN"/>
              </w:rPr>
            </w:pPr>
            <w:r>
              <w:rPr>
                <w:rFonts w:hint="eastAsia" w:ascii="Times New Roman" w:hAnsi="Times New Roman" w:eastAsia="宋体" w:cs="Times New Roman"/>
                <w:sz w:val="20"/>
                <w:szCs w:val="20"/>
                <w:highlight w:val="none"/>
                <w:lang w:val="en-US" w:eastAsia="zh-CN"/>
              </w:rPr>
              <w:t>18.75</w:t>
            </w:r>
          </w:p>
        </w:tc>
        <w:tc>
          <w:tcPr>
            <w:tcW w:w="2141" w:type="dxa"/>
            <w:vAlign w:val="center"/>
          </w:tcPr>
          <w:p w14:paraId="3682E4E6">
            <w:pPr>
              <w:jc w:val="center"/>
              <w:rPr>
                <w:rFonts w:ascii="Times New Roman" w:hAnsi="Times New Roman" w:cs="Times New Roman"/>
                <w:sz w:val="20"/>
                <w:szCs w:val="20"/>
                <w:highlight w:val="none"/>
              </w:rPr>
            </w:pPr>
            <w:r>
              <w:rPr>
                <w:rFonts w:ascii="Times New Roman" w:hAnsi="Times New Roman" w:cs="Times New Roman"/>
                <w:color w:val="000000"/>
                <w:sz w:val="20"/>
                <w:szCs w:val="20"/>
                <w:highlight w:val="none"/>
              </w:rPr>
              <w:t>9</w:t>
            </w:r>
            <w:r>
              <w:rPr>
                <w:rFonts w:hint="eastAsia" w:ascii="Times New Roman" w:hAnsi="Times New Roman" w:cs="Times New Roman"/>
                <w:color w:val="000000"/>
                <w:sz w:val="20"/>
                <w:szCs w:val="20"/>
                <w:highlight w:val="none"/>
                <w:lang w:val="en-US" w:eastAsia="zh-CN"/>
              </w:rPr>
              <w:t>3.77</w:t>
            </w:r>
            <w:r>
              <w:rPr>
                <w:rFonts w:ascii="Times New Roman" w:hAnsi="Times New Roman" w:cs="Times New Roman"/>
                <w:color w:val="000000"/>
                <w:sz w:val="20"/>
                <w:szCs w:val="20"/>
                <w:highlight w:val="none"/>
              </w:rPr>
              <w:t>%</w:t>
            </w:r>
          </w:p>
        </w:tc>
      </w:tr>
      <w:tr w14:paraId="7B9D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2" w:type="dxa"/>
            <w:vAlign w:val="center"/>
          </w:tcPr>
          <w:p w14:paraId="0C7F54EB">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整体绩效目标实现情况</w:t>
            </w:r>
          </w:p>
        </w:tc>
        <w:tc>
          <w:tcPr>
            <w:tcW w:w="1861" w:type="dxa"/>
            <w:vAlign w:val="center"/>
          </w:tcPr>
          <w:p w14:paraId="26F6DDFE">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60</w:t>
            </w:r>
          </w:p>
        </w:tc>
        <w:tc>
          <w:tcPr>
            <w:tcW w:w="2303" w:type="dxa"/>
            <w:vAlign w:val="center"/>
          </w:tcPr>
          <w:p w14:paraId="596246E1">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57.80</w:t>
            </w:r>
          </w:p>
        </w:tc>
        <w:tc>
          <w:tcPr>
            <w:tcW w:w="2141" w:type="dxa"/>
            <w:vAlign w:val="center"/>
          </w:tcPr>
          <w:p w14:paraId="7505BD1F">
            <w:pPr>
              <w:jc w:val="center"/>
              <w:rPr>
                <w:rFonts w:ascii="Times New Roman" w:hAnsi="Times New Roman" w:cs="Times New Roman"/>
                <w:sz w:val="20"/>
                <w:szCs w:val="20"/>
                <w:highlight w:val="none"/>
              </w:rPr>
            </w:pPr>
            <w:r>
              <w:rPr>
                <w:rFonts w:ascii="Times New Roman" w:hAnsi="Times New Roman" w:cs="Times New Roman"/>
                <w:color w:val="000000"/>
                <w:sz w:val="20"/>
                <w:szCs w:val="20"/>
                <w:highlight w:val="none"/>
              </w:rPr>
              <w:t>96.33%</w:t>
            </w:r>
          </w:p>
        </w:tc>
      </w:tr>
      <w:tr w14:paraId="5177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2" w:type="dxa"/>
            <w:vAlign w:val="center"/>
          </w:tcPr>
          <w:p w14:paraId="29AA29D9">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预算管理情况</w:t>
            </w:r>
          </w:p>
        </w:tc>
        <w:tc>
          <w:tcPr>
            <w:tcW w:w="1861" w:type="dxa"/>
            <w:vAlign w:val="center"/>
          </w:tcPr>
          <w:p w14:paraId="719A2A4B">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20</w:t>
            </w:r>
          </w:p>
        </w:tc>
        <w:tc>
          <w:tcPr>
            <w:tcW w:w="2303" w:type="dxa"/>
            <w:vAlign w:val="center"/>
          </w:tcPr>
          <w:p w14:paraId="457847A8">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1</w:t>
            </w:r>
            <w:r>
              <w:rPr>
                <w:rFonts w:hint="eastAsia" w:ascii="Times New Roman" w:hAnsi="Times New Roman" w:eastAsia="宋体" w:cs="Times New Roman"/>
                <w:sz w:val="20"/>
                <w:szCs w:val="20"/>
                <w:highlight w:val="none"/>
                <w:lang w:val="en-US" w:eastAsia="zh-CN"/>
              </w:rPr>
              <w:t>7</w:t>
            </w:r>
            <w:r>
              <w:rPr>
                <w:rFonts w:ascii="Times New Roman" w:hAnsi="Times New Roman" w:eastAsia="宋体" w:cs="Times New Roman"/>
                <w:sz w:val="20"/>
                <w:szCs w:val="20"/>
                <w:highlight w:val="none"/>
              </w:rPr>
              <w:t>.</w:t>
            </w:r>
            <w:r>
              <w:rPr>
                <w:rFonts w:hint="eastAsia" w:ascii="Times New Roman" w:hAnsi="Times New Roman" w:eastAsia="宋体" w:cs="Times New Roman"/>
                <w:sz w:val="20"/>
                <w:szCs w:val="20"/>
                <w:highlight w:val="none"/>
                <w:lang w:val="en-US" w:eastAsia="zh-CN"/>
              </w:rPr>
              <w:t>8</w:t>
            </w:r>
            <w:r>
              <w:rPr>
                <w:rFonts w:ascii="Times New Roman" w:hAnsi="Times New Roman" w:eastAsia="宋体" w:cs="Times New Roman"/>
                <w:sz w:val="20"/>
                <w:szCs w:val="20"/>
                <w:highlight w:val="none"/>
              </w:rPr>
              <w:t>0</w:t>
            </w:r>
          </w:p>
        </w:tc>
        <w:tc>
          <w:tcPr>
            <w:tcW w:w="2141" w:type="dxa"/>
            <w:vAlign w:val="center"/>
          </w:tcPr>
          <w:p w14:paraId="02399DD8">
            <w:pPr>
              <w:jc w:val="center"/>
              <w:rPr>
                <w:rFonts w:ascii="Times New Roman" w:hAnsi="Times New Roman" w:cs="Times New Roman"/>
                <w:sz w:val="20"/>
                <w:szCs w:val="20"/>
                <w:highlight w:val="none"/>
              </w:rPr>
            </w:pPr>
            <w:r>
              <w:rPr>
                <w:rFonts w:hint="eastAsia" w:ascii="Times New Roman" w:hAnsi="Times New Roman" w:cs="Times New Roman"/>
                <w:color w:val="000000"/>
                <w:sz w:val="20"/>
                <w:szCs w:val="20"/>
                <w:highlight w:val="none"/>
                <w:lang w:val="en-US" w:eastAsia="zh-CN"/>
              </w:rPr>
              <w:t>89.</w:t>
            </w:r>
            <w:r>
              <w:rPr>
                <w:rFonts w:ascii="Times New Roman" w:hAnsi="Times New Roman" w:cs="Times New Roman"/>
                <w:color w:val="000000"/>
                <w:sz w:val="20"/>
                <w:szCs w:val="20"/>
                <w:highlight w:val="none"/>
              </w:rPr>
              <w:t>00%</w:t>
            </w:r>
          </w:p>
        </w:tc>
      </w:tr>
      <w:tr w14:paraId="2C86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92" w:type="dxa"/>
            <w:vAlign w:val="center"/>
          </w:tcPr>
          <w:p w14:paraId="100096E5">
            <w:pPr>
              <w:jc w:val="center"/>
              <w:rPr>
                <w:rFonts w:ascii="Times New Roman" w:hAnsi="Times New Roman" w:eastAsia="宋体" w:cs="Times New Roman"/>
                <w:b/>
                <w:bCs/>
                <w:sz w:val="20"/>
                <w:szCs w:val="20"/>
                <w:highlight w:val="none"/>
              </w:rPr>
            </w:pPr>
            <w:r>
              <w:rPr>
                <w:rFonts w:ascii="Times New Roman" w:hAnsi="Times New Roman" w:eastAsia="宋体" w:cs="Times New Roman"/>
                <w:b/>
                <w:bCs/>
                <w:sz w:val="20"/>
                <w:szCs w:val="20"/>
                <w:highlight w:val="none"/>
              </w:rPr>
              <w:t>合计</w:t>
            </w:r>
          </w:p>
        </w:tc>
        <w:tc>
          <w:tcPr>
            <w:tcW w:w="1861" w:type="dxa"/>
            <w:vAlign w:val="center"/>
          </w:tcPr>
          <w:p w14:paraId="5AE57D34">
            <w:pPr>
              <w:jc w:val="center"/>
              <w:rPr>
                <w:rFonts w:ascii="Times New Roman" w:hAnsi="Times New Roman" w:eastAsia="宋体" w:cs="Times New Roman"/>
                <w:sz w:val="20"/>
                <w:szCs w:val="20"/>
                <w:highlight w:val="none"/>
              </w:rPr>
            </w:pPr>
            <w:r>
              <w:rPr>
                <w:rFonts w:ascii="Times New Roman" w:hAnsi="Times New Roman" w:eastAsia="宋体" w:cs="Times New Roman"/>
                <w:sz w:val="20"/>
                <w:szCs w:val="20"/>
                <w:highlight w:val="none"/>
              </w:rPr>
              <w:t>100</w:t>
            </w:r>
          </w:p>
        </w:tc>
        <w:tc>
          <w:tcPr>
            <w:tcW w:w="2303" w:type="dxa"/>
            <w:vAlign w:val="center"/>
          </w:tcPr>
          <w:p w14:paraId="3CFC1E34">
            <w:pPr>
              <w:jc w:val="center"/>
              <w:rPr>
                <w:rFonts w:hint="default" w:ascii="Times New Roman" w:hAnsi="Times New Roman" w:eastAsia="宋体" w:cs="Times New Roman"/>
                <w:sz w:val="20"/>
                <w:szCs w:val="20"/>
                <w:highlight w:val="none"/>
                <w:lang w:val="en-US" w:eastAsia="zh-CN"/>
              </w:rPr>
            </w:pPr>
            <w:r>
              <w:rPr>
                <w:rFonts w:ascii="Times New Roman" w:hAnsi="Times New Roman" w:eastAsia="宋体" w:cs="Times New Roman"/>
                <w:sz w:val="20"/>
                <w:szCs w:val="20"/>
                <w:highlight w:val="none"/>
              </w:rPr>
              <w:t>9</w:t>
            </w:r>
            <w:r>
              <w:rPr>
                <w:rFonts w:hint="eastAsia" w:ascii="Times New Roman" w:hAnsi="Times New Roman" w:eastAsia="宋体" w:cs="Times New Roman"/>
                <w:sz w:val="20"/>
                <w:szCs w:val="20"/>
                <w:highlight w:val="none"/>
                <w:lang w:val="en-US" w:eastAsia="zh-CN"/>
              </w:rPr>
              <w:t>4.35</w:t>
            </w:r>
          </w:p>
        </w:tc>
        <w:tc>
          <w:tcPr>
            <w:tcW w:w="2141" w:type="dxa"/>
            <w:vAlign w:val="center"/>
          </w:tcPr>
          <w:p w14:paraId="1CF30981">
            <w:pPr>
              <w:jc w:val="center"/>
              <w:rPr>
                <w:rFonts w:ascii="Times New Roman" w:hAnsi="Times New Roman" w:cs="Times New Roman"/>
                <w:sz w:val="20"/>
                <w:szCs w:val="20"/>
                <w:highlight w:val="none"/>
              </w:rPr>
            </w:pPr>
            <w:r>
              <w:rPr>
                <w:rFonts w:ascii="Times New Roman" w:hAnsi="Times New Roman" w:cs="Times New Roman"/>
                <w:color w:val="000000"/>
                <w:sz w:val="20"/>
                <w:szCs w:val="20"/>
                <w:highlight w:val="none"/>
              </w:rPr>
              <w:t>9</w:t>
            </w:r>
            <w:r>
              <w:rPr>
                <w:rFonts w:hint="eastAsia" w:ascii="Times New Roman" w:hAnsi="Times New Roman" w:cs="Times New Roman"/>
                <w:color w:val="000000"/>
                <w:sz w:val="20"/>
                <w:szCs w:val="20"/>
                <w:highlight w:val="none"/>
                <w:lang w:val="en-US" w:eastAsia="zh-CN"/>
              </w:rPr>
              <w:t>4.35</w:t>
            </w:r>
            <w:r>
              <w:rPr>
                <w:rFonts w:ascii="Times New Roman" w:hAnsi="Times New Roman" w:cs="Times New Roman"/>
                <w:color w:val="000000"/>
                <w:sz w:val="20"/>
                <w:szCs w:val="20"/>
                <w:highlight w:val="none"/>
              </w:rPr>
              <w:t>%</w:t>
            </w:r>
          </w:p>
        </w:tc>
      </w:tr>
    </w:tbl>
    <w:p w14:paraId="385E9BF5">
      <w:pPr>
        <w:rPr>
          <w:rFonts w:ascii="Times New Roman" w:hAnsi="Times New Roman" w:cs="Times New Roman"/>
        </w:rPr>
      </w:pPr>
    </w:p>
    <w:p w14:paraId="33DF9D22">
      <w:pPr>
        <w:adjustRightInd w:val="0"/>
        <w:snapToGrid w:val="0"/>
        <w:spacing w:line="360" w:lineRule="auto"/>
        <w:ind w:firstLine="640" w:firstLineChars="200"/>
        <w:outlineLvl w:val="1"/>
        <w:rPr>
          <w:rFonts w:ascii="Times New Roman" w:hAnsi="Times New Roman" w:eastAsia="楷体" w:cs="Times New Roman"/>
          <w:sz w:val="32"/>
          <w:szCs w:val="32"/>
        </w:rPr>
      </w:pPr>
      <w:bookmarkStart w:id="79" w:name="_Toc103542851"/>
      <w:bookmarkStart w:id="80" w:name="_Toc102158241"/>
      <w:r>
        <w:rPr>
          <w:rFonts w:ascii="Times New Roman" w:hAnsi="Times New Roman" w:eastAsia="楷体" w:cs="Times New Roman"/>
          <w:sz w:val="32"/>
          <w:szCs w:val="32"/>
        </w:rPr>
        <w:t>（二）存在的问题及原因分析</w:t>
      </w:r>
      <w:bookmarkEnd w:id="79"/>
      <w:bookmarkEnd w:id="80"/>
    </w:p>
    <w:p w14:paraId="3FB619DB">
      <w:pPr>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部门整体绩效目标设置有待进一步完善</w:t>
      </w:r>
    </w:p>
    <w:p w14:paraId="697C1AE9">
      <w:pPr>
        <w:adjustRightInd w:val="0"/>
        <w:snapToGrid w:val="0"/>
        <w:spacing w:line="360" w:lineRule="auto"/>
        <w:ind w:firstLine="640" w:firstLineChars="200"/>
        <w:rPr>
          <w:rFonts w:ascii="仿宋_GB2312" w:eastAsia="仿宋_GB2312"/>
          <w:kern w:val="0"/>
          <w:sz w:val="32"/>
          <w:szCs w:val="32"/>
        </w:rPr>
      </w:pPr>
      <w:r>
        <w:rPr>
          <w:rFonts w:hint="eastAsia" w:ascii="仿宋_GB2312" w:eastAsia="仿宋_GB2312"/>
          <w:bCs/>
          <w:kern w:val="0"/>
          <w:sz w:val="32"/>
          <w:szCs w:val="32"/>
          <w:lang w:eastAsia="zh-CN"/>
        </w:rPr>
        <w:t>市公安交管局</w:t>
      </w:r>
      <w:r>
        <w:rPr>
          <w:rFonts w:hint="eastAsia" w:ascii="仿宋_GB2312" w:eastAsia="仿宋_GB2312"/>
          <w:bCs/>
          <w:kern w:val="0"/>
          <w:sz w:val="32"/>
          <w:szCs w:val="32"/>
        </w:rPr>
        <w:t>根据部门职责及年度工作任务设置部门整体绩效目标，由于部门承担全市重点工作数量多、任务重，部门整体绩效目标对各项重点工作覆盖难度较大，部门整体绩效目标设置不够细化、量化，未覆盖年度所有重点工作任务，部门整体绩效目标设置科学合理性有待进一步提升</w:t>
      </w:r>
      <w:r>
        <w:rPr>
          <w:rFonts w:hint="eastAsia" w:ascii="仿宋_GB2312" w:eastAsia="仿宋_GB2312"/>
          <w:kern w:val="0"/>
          <w:sz w:val="32"/>
          <w:szCs w:val="32"/>
        </w:rPr>
        <w:t>。</w:t>
      </w:r>
    </w:p>
    <w:p w14:paraId="23A388FA">
      <w:pPr>
        <w:pStyle w:val="2"/>
        <w:adjustRightInd w:val="0"/>
        <w:snapToGrid w:val="0"/>
        <w:spacing w:line="360" w:lineRule="auto"/>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部门资金结转结余率有待进一步控制</w:t>
      </w:r>
    </w:p>
    <w:p w14:paraId="7837A1A3">
      <w:pPr>
        <w:adjustRightInd w:val="0"/>
        <w:snapToGrid w:val="0"/>
        <w:spacing w:line="360" w:lineRule="auto"/>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资金结转结余方面，</w:t>
      </w:r>
      <w:r>
        <w:rPr>
          <w:rFonts w:hint="eastAsia" w:ascii="Times New Roman" w:hAnsi="Times New Roman" w:eastAsia="仿宋_GB2312" w:cs="Times New Roman"/>
          <w:sz w:val="32"/>
          <w:szCs w:val="32"/>
          <w:highlight w:val="none"/>
          <w:lang w:eastAsia="zh-CN"/>
        </w:rPr>
        <w:t>2022年部门年末结转结余资金总额为63706.45万元，全年支出预算数为566065.30万元，部门资金结转结余率为11.25%</w:t>
      </w:r>
      <w:r>
        <w:rPr>
          <w:rFonts w:hint="eastAsia" w:ascii="Times New Roman" w:hAnsi="Times New Roman" w:eastAsia="仿宋_GB2312" w:cs="Times New Roman"/>
          <w:sz w:val="32"/>
          <w:szCs w:val="32"/>
          <w:highlight w:val="none"/>
        </w:rPr>
        <w:t>，较上一年度（7.2</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）有增加，部门资金结转结余率有待进一步消化控制。</w:t>
      </w:r>
    </w:p>
    <w:p w14:paraId="39B4094A">
      <w:pPr>
        <w:adjustRightInd w:val="0"/>
        <w:snapToGrid w:val="0"/>
        <w:spacing w:line="360" w:lineRule="auto"/>
        <w:ind w:firstLine="640" w:firstLineChars="200"/>
        <w:jc w:val="left"/>
        <w:outlineLvl w:val="0"/>
        <w:rPr>
          <w:rFonts w:ascii="Times New Roman" w:hAnsi="Times New Roman" w:eastAsia="黑体" w:cs="Times New Roman"/>
          <w:sz w:val="32"/>
          <w:szCs w:val="32"/>
        </w:rPr>
      </w:pPr>
      <w:bookmarkStart w:id="81" w:name="_Toc72439026"/>
      <w:bookmarkStart w:id="82" w:name="_Toc103542852"/>
      <w:bookmarkStart w:id="83" w:name="_Toc102158242"/>
      <w:r>
        <w:rPr>
          <w:rFonts w:ascii="Times New Roman" w:hAnsi="Times New Roman" w:eastAsia="黑体" w:cs="Times New Roman"/>
          <w:sz w:val="32"/>
          <w:szCs w:val="32"/>
        </w:rPr>
        <w:t>六、措施建议</w:t>
      </w:r>
      <w:bookmarkEnd w:id="81"/>
      <w:bookmarkEnd w:id="82"/>
      <w:bookmarkEnd w:id="83"/>
    </w:p>
    <w:p w14:paraId="61EDFFAE">
      <w:pPr>
        <w:adjustRightInd w:val="0"/>
        <w:snapToGrid w:val="0"/>
        <w:spacing w:line="360" w:lineRule="auto"/>
        <w:ind w:firstLine="640" w:firstLineChars="200"/>
        <w:outlineLvl w:val="1"/>
        <w:rPr>
          <w:rFonts w:ascii="Times New Roman" w:hAnsi="Times New Roman" w:eastAsia="楷体" w:cs="Times New Roman"/>
          <w:sz w:val="32"/>
          <w:szCs w:val="32"/>
        </w:rPr>
      </w:pPr>
      <w:bookmarkStart w:id="84" w:name="_Toc103542853"/>
      <w:r>
        <w:rPr>
          <w:rFonts w:ascii="Times New Roman" w:hAnsi="Times New Roman" w:eastAsia="楷体" w:cs="Times New Roman"/>
          <w:sz w:val="32"/>
          <w:szCs w:val="32"/>
        </w:rPr>
        <w:t>（</w:t>
      </w:r>
      <w:r>
        <w:rPr>
          <w:rFonts w:hint="eastAsia" w:ascii="Times New Roman" w:hAnsi="Times New Roman" w:eastAsia="楷体" w:cs="Times New Roman"/>
          <w:sz w:val="32"/>
          <w:szCs w:val="32"/>
        </w:rPr>
        <w:t>一</w:t>
      </w:r>
      <w:r>
        <w:rPr>
          <w:rFonts w:ascii="Times New Roman" w:hAnsi="Times New Roman" w:eastAsia="楷体" w:cs="Times New Roman"/>
          <w:sz w:val="32"/>
          <w:szCs w:val="32"/>
        </w:rPr>
        <w:t>）</w:t>
      </w:r>
      <w:r>
        <w:rPr>
          <w:rFonts w:hint="eastAsia" w:ascii="Times New Roman" w:hAnsi="Times New Roman" w:eastAsia="楷体" w:cs="Times New Roman"/>
          <w:sz w:val="32"/>
          <w:szCs w:val="32"/>
        </w:rPr>
        <w:t>完善部门整体绩效目标设置，进一步提升预算绩效管理意识</w:t>
      </w:r>
      <w:bookmarkEnd w:id="84"/>
    </w:p>
    <w:p w14:paraId="27C01D30">
      <w:pPr>
        <w:pStyle w:val="2"/>
        <w:adjustRightInd w:val="0"/>
        <w:snapToGrid w:val="0"/>
        <w:spacing w:line="360" w:lineRule="auto"/>
        <w:ind w:left="0" w:leftChars="0" w:firstLine="640" w:firstLineChars="200"/>
        <w:rPr>
          <w:rFonts w:ascii="仿宋_GB2312" w:eastAsia="仿宋_GB2312"/>
          <w:bCs/>
          <w:sz w:val="32"/>
          <w:szCs w:val="32"/>
        </w:rPr>
      </w:pPr>
      <w:r>
        <w:rPr>
          <w:rFonts w:hint="eastAsia" w:ascii="Times New Roman" w:hAnsi="Times New Roman" w:eastAsia="仿宋_GB2312" w:cs="Times New Roman"/>
          <w:sz w:val="32"/>
          <w:szCs w:val="32"/>
          <w:lang w:eastAsia="zh-CN"/>
        </w:rPr>
        <w:t>市公安交管局</w:t>
      </w:r>
      <w:r>
        <w:rPr>
          <w:rFonts w:hint="eastAsia" w:ascii="Times New Roman" w:hAnsi="Times New Roman" w:eastAsia="仿宋_GB2312" w:cs="Times New Roman"/>
          <w:sz w:val="32"/>
          <w:szCs w:val="32"/>
        </w:rPr>
        <w:t>将</w:t>
      </w:r>
      <w:r>
        <w:rPr>
          <w:rFonts w:hint="eastAsia" w:ascii="仿宋_GB2312" w:eastAsia="仿宋_GB2312"/>
          <w:bCs/>
          <w:sz w:val="32"/>
          <w:szCs w:val="32"/>
        </w:rPr>
        <w:t>进一步加强完善部门整体绩效目标设置，</w:t>
      </w:r>
      <w:r>
        <w:rPr>
          <w:rFonts w:ascii="仿宋_GB2312" w:eastAsia="仿宋_GB2312"/>
          <w:bCs/>
          <w:sz w:val="32"/>
          <w:szCs w:val="32"/>
        </w:rPr>
        <w:t>加强部门整体绩效目标填报研究</w:t>
      </w:r>
      <w:r>
        <w:rPr>
          <w:rFonts w:hint="eastAsia" w:ascii="仿宋_GB2312" w:eastAsia="仿宋_GB2312"/>
          <w:bCs/>
          <w:sz w:val="32"/>
          <w:szCs w:val="32"/>
        </w:rPr>
        <w:t>，建立部门职责-年度任务-绩效目标-预算资金衔接机制，同时进一步加强</w:t>
      </w:r>
      <w:r>
        <w:rPr>
          <w:rFonts w:ascii="仿宋_GB2312" w:eastAsia="仿宋_GB2312"/>
          <w:bCs/>
          <w:sz w:val="32"/>
          <w:szCs w:val="32"/>
        </w:rPr>
        <w:t>财务部门与业务部门</w:t>
      </w:r>
      <w:r>
        <w:rPr>
          <w:rFonts w:hint="eastAsia" w:ascii="仿宋_GB2312" w:eastAsia="仿宋_GB2312"/>
          <w:bCs/>
          <w:sz w:val="32"/>
          <w:szCs w:val="32"/>
        </w:rPr>
        <w:t>及</w:t>
      </w:r>
      <w:r>
        <w:rPr>
          <w:rFonts w:ascii="仿宋_GB2312" w:eastAsia="仿宋_GB2312"/>
          <w:bCs/>
          <w:sz w:val="32"/>
          <w:szCs w:val="32"/>
        </w:rPr>
        <w:t>项目</w:t>
      </w:r>
      <w:r>
        <w:rPr>
          <w:rFonts w:hint="eastAsia" w:ascii="仿宋_GB2312" w:eastAsia="仿宋_GB2312"/>
          <w:bCs/>
          <w:sz w:val="32"/>
          <w:szCs w:val="32"/>
        </w:rPr>
        <w:t>实施单位</w:t>
      </w:r>
      <w:r>
        <w:rPr>
          <w:rFonts w:ascii="仿宋_GB2312" w:eastAsia="仿宋_GB2312"/>
          <w:bCs/>
          <w:sz w:val="32"/>
          <w:szCs w:val="32"/>
        </w:rPr>
        <w:t>的协同工作机制，提升各项目单位对绩效目标填报的重视程度，结合项目实际情况，合理制定绩效目标，</w:t>
      </w:r>
      <w:r>
        <w:rPr>
          <w:rFonts w:hint="eastAsia" w:ascii="仿宋_GB2312" w:eastAsia="仿宋_GB2312"/>
          <w:bCs/>
          <w:sz w:val="32"/>
          <w:szCs w:val="32"/>
        </w:rPr>
        <w:t>确保绩效目标设置细化、量化，便于衡量考核。</w:t>
      </w:r>
    </w:p>
    <w:p w14:paraId="74445FFE">
      <w:pPr>
        <w:adjustRightInd w:val="0"/>
        <w:snapToGrid w:val="0"/>
        <w:spacing w:line="360" w:lineRule="auto"/>
        <w:ind w:firstLine="640" w:firstLineChars="200"/>
        <w:outlineLvl w:val="1"/>
        <w:rPr>
          <w:rFonts w:ascii="Times New Roman" w:hAnsi="Times New Roman" w:eastAsia="楷体" w:cs="Times New Roman"/>
          <w:sz w:val="32"/>
          <w:szCs w:val="32"/>
        </w:rPr>
      </w:pPr>
      <w:bookmarkStart w:id="85" w:name="_Toc103542854"/>
      <w:r>
        <w:rPr>
          <w:rFonts w:ascii="Times New Roman" w:hAnsi="Times New Roman" w:eastAsia="楷体" w:cs="Times New Roman"/>
          <w:sz w:val="32"/>
          <w:szCs w:val="32"/>
        </w:rPr>
        <w:t>（</w:t>
      </w:r>
      <w:r>
        <w:rPr>
          <w:rFonts w:hint="eastAsia" w:ascii="Times New Roman" w:hAnsi="Times New Roman" w:eastAsia="楷体" w:cs="Times New Roman"/>
          <w:sz w:val="32"/>
          <w:szCs w:val="32"/>
        </w:rPr>
        <w:t>二</w:t>
      </w:r>
      <w:r>
        <w:rPr>
          <w:rFonts w:ascii="Times New Roman" w:hAnsi="Times New Roman" w:eastAsia="楷体" w:cs="Times New Roman"/>
          <w:sz w:val="32"/>
          <w:szCs w:val="32"/>
        </w:rPr>
        <w:t>）</w:t>
      </w:r>
      <w:r>
        <w:rPr>
          <w:rFonts w:hint="eastAsia" w:ascii="Times New Roman" w:hAnsi="Times New Roman" w:eastAsia="楷体" w:cs="Times New Roman"/>
          <w:sz w:val="32"/>
          <w:szCs w:val="32"/>
        </w:rPr>
        <w:t>优化部门预算资金配置，提升项目预算执行率</w:t>
      </w:r>
      <w:bookmarkEnd w:id="85"/>
    </w:p>
    <w:p w14:paraId="4E777D32">
      <w:pPr>
        <w:pStyle w:val="2"/>
        <w:adjustRightInd w:val="0"/>
        <w:snapToGrid w:val="0"/>
        <w:spacing w:line="360" w:lineRule="auto"/>
        <w:ind w:left="0" w:leftChars="0" w:firstLine="640" w:firstLineChars="200"/>
        <w:rPr>
          <w:rFonts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eastAsia="zh-CN"/>
        </w:rPr>
        <w:t>市公安交管局</w:t>
      </w:r>
      <w:r>
        <w:rPr>
          <w:rFonts w:hint="eastAsia" w:ascii="Times New Roman" w:hAnsi="Times New Roman" w:eastAsia="仿宋_GB2312" w:cs="Times New Roman"/>
          <w:sz w:val="32"/>
          <w:szCs w:val="32"/>
        </w:rPr>
        <w:t>将进一步</w:t>
      </w:r>
      <w:r>
        <w:rPr>
          <w:rFonts w:ascii="Times New Roman" w:hAnsi="Times New Roman" w:eastAsia="仿宋_GB2312" w:cs="Times New Roman"/>
          <w:sz w:val="32"/>
          <w:szCs w:val="32"/>
        </w:rPr>
        <w:t>强化</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预算编制顶层设计，实行“以事定钱”预算编制模式，根据既定的工作事项和工作量，打破“基数+增长”的固化模式</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从而提高预算编制科学性及准确性，同时进一步消化控制部门结转结余资金，</w:t>
      </w:r>
      <w:r>
        <w:rPr>
          <w:rFonts w:ascii="Times New Roman" w:hAnsi="Times New Roman" w:eastAsia="仿宋_GB2312" w:cs="Times New Roman"/>
          <w:sz w:val="32"/>
          <w:szCs w:val="32"/>
          <w:lang w:eastAsia="zh-Hans"/>
        </w:rPr>
        <w:t>对于因年度工作调整无法支出的项目预算应及时</w:t>
      </w:r>
      <w:r>
        <w:rPr>
          <w:rFonts w:hint="eastAsia" w:ascii="Times New Roman" w:hAnsi="Times New Roman" w:eastAsia="仿宋_GB2312" w:cs="Times New Roman"/>
          <w:sz w:val="32"/>
          <w:szCs w:val="32"/>
          <w:lang w:eastAsia="zh-Hans"/>
        </w:rPr>
        <w:t>调整</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Hans"/>
        </w:rPr>
        <w:t>有效盘活财政资金，进一步优化提升财政资金使用效益，降低部门资金结转结余率。</w:t>
      </w:r>
    </w:p>
    <w:p w14:paraId="2273117B">
      <w:pPr>
        <w:rPr>
          <w:rFonts w:hint="eastAsia"/>
          <w:lang w:eastAsia="zh-Hans"/>
        </w:rPr>
      </w:pPr>
    </w:p>
    <w:sectPr>
      <w:footerReference r:id="rId5" w:type="default"/>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CBD2">
    <w:pPr>
      <w:pStyle w:val="5"/>
      <w:jc w:val="center"/>
    </w:pPr>
  </w:p>
  <w:p w14:paraId="7F2DFC6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7849745"/>
    </w:sdtPr>
    <w:sdtContent>
      <w:p w14:paraId="51ED0C66">
        <w:pPr>
          <w:pStyle w:val="5"/>
          <w:jc w:val="center"/>
        </w:pPr>
        <w:r>
          <w:fldChar w:fldCharType="begin"/>
        </w:r>
        <w:r>
          <w:instrText xml:space="preserve">PAGE   \* MERGEFORMAT</w:instrText>
        </w:r>
        <w:r>
          <w:fldChar w:fldCharType="separate"/>
        </w:r>
        <w:r>
          <w:rPr>
            <w:lang w:val="zh-CN"/>
          </w:rPr>
          <w:t>2</w:t>
        </w:r>
        <w:r>
          <w:fldChar w:fldCharType="end"/>
        </w:r>
      </w:p>
    </w:sdtContent>
  </w:sdt>
  <w:p w14:paraId="152A55A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533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B2327"/>
    <w:multiLevelType w:val="singleLevel"/>
    <w:tmpl w:val="9FCB23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GJhOWY3YzcxZDUwZDJmM2U4YzUzNjM4NGE0NzAifQ=="/>
  </w:docVars>
  <w:rsids>
    <w:rsidRoot w:val="008E50BE"/>
    <w:rsid w:val="000017F2"/>
    <w:rsid w:val="00010AE8"/>
    <w:rsid w:val="000201D9"/>
    <w:rsid w:val="00025CC1"/>
    <w:rsid w:val="0002789F"/>
    <w:rsid w:val="0004266F"/>
    <w:rsid w:val="00042685"/>
    <w:rsid w:val="0004482A"/>
    <w:rsid w:val="000459F7"/>
    <w:rsid w:val="00046F03"/>
    <w:rsid w:val="00051746"/>
    <w:rsid w:val="00052DDD"/>
    <w:rsid w:val="00052FEF"/>
    <w:rsid w:val="00054CCE"/>
    <w:rsid w:val="0005518E"/>
    <w:rsid w:val="00056355"/>
    <w:rsid w:val="000606EC"/>
    <w:rsid w:val="00061C14"/>
    <w:rsid w:val="00061C61"/>
    <w:rsid w:val="0006355E"/>
    <w:rsid w:val="00064D9C"/>
    <w:rsid w:val="0007563C"/>
    <w:rsid w:val="00086D11"/>
    <w:rsid w:val="000A23CF"/>
    <w:rsid w:val="000A2A87"/>
    <w:rsid w:val="000C663C"/>
    <w:rsid w:val="000D4635"/>
    <w:rsid w:val="000E0B6F"/>
    <w:rsid w:val="000E2995"/>
    <w:rsid w:val="000E45DF"/>
    <w:rsid w:val="000F0184"/>
    <w:rsid w:val="000F1FEC"/>
    <w:rsid w:val="000F2ADB"/>
    <w:rsid w:val="000F2D7B"/>
    <w:rsid w:val="000F4A6D"/>
    <w:rsid w:val="0011532A"/>
    <w:rsid w:val="001161CC"/>
    <w:rsid w:val="001163C6"/>
    <w:rsid w:val="00120716"/>
    <w:rsid w:val="001227B2"/>
    <w:rsid w:val="00123120"/>
    <w:rsid w:val="001235E8"/>
    <w:rsid w:val="001266D1"/>
    <w:rsid w:val="00130AA3"/>
    <w:rsid w:val="00144874"/>
    <w:rsid w:val="00144E4F"/>
    <w:rsid w:val="00150ED6"/>
    <w:rsid w:val="0015156B"/>
    <w:rsid w:val="0015423E"/>
    <w:rsid w:val="00156178"/>
    <w:rsid w:val="001640E6"/>
    <w:rsid w:val="001662FE"/>
    <w:rsid w:val="001835A1"/>
    <w:rsid w:val="00184215"/>
    <w:rsid w:val="00184F66"/>
    <w:rsid w:val="0018543B"/>
    <w:rsid w:val="00187389"/>
    <w:rsid w:val="001919EA"/>
    <w:rsid w:val="001928F3"/>
    <w:rsid w:val="00196361"/>
    <w:rsid w:val="001A42D5"/>
    <w:rsid w:val="001A6530"/>
    <w:rsid w:val="001A7210"/>
    <w:rsid w:val="001B0CBF"/>
    <w:rsid w:val="001B783E"/>
    <w:rsid w:val="001C10CE"/>
    <w:rsid w:val="001C13F7"/>
    <w:rsid w:val="001C3521"/>
    <w:rsid w:val="001C4E97"/>
    <w:rsid w:val="001D0676"/>
    <w:rsid w:val="001D317F"/>
    <w:rsid w:val="001E35A2"/>
    <w:rsid w:val="001E7101"/>
    <w:rsid w:val="001E7B9B"/>
    <w:rsid w:val="001F0AEF"/>
    <w:rsid w:val="001F777F"/>
    <w:rsid w:val="00205D86"/>
    <w:rsid w:val="00212EF7"/>
    <w:rsid w:val="00214E9C"/>
    <w:rsid w:val="00216750"/>
    <w:rsid w:val="00232A11"/>
    <w:rsid w:val="00237A64"/>
    <w:rsid w:val="002500BA"/>
    <w:rsid w:val="0025325E"/>
    <w:rsid w:val="00255CC8"/>
    <w:rsid w:val="002569C5"/>
    <w:rsid w:val="00260311"/>
    <w:rsid w:val="00262526"/>
    <w:rsid w:val="00267C1C"/>
    <w:rsid w:val="00277629"/>
    <w:rsid w:val="002902E8"/>
    <w:rsid w:val="00290D9B"/>
    <w:rsid w:val="00293ABA"/>
    <w:rsid w:val="002946A2"/>
    <w:rsid w:val="00296CE5"/>
    <w:rsid w:val="002A0627"/>
    <w:rsid w:val="002A2767"/>
    <w:rsid w:val="002A7665"/>
    <w:rsid w:val="002B3E52"/>
    <w:rsid w:val="002B50A9"/>
    <w:rsid w:val="002C0938"/>
    <w:rsid w:val="002C2183"/>
    <w:rsid w:val="002C389C"/>
    <w:rsid w:val="002C3FA6"/>
    <w:rsid w:val="002C4010"/>
    <w:rsid w:val="002C4CA6"/>
    <w:rsid w:val="002C5D90"/>
    <w:rsid w:val="002D06F7"/>
    <w:rsid w:val="002D452B"/>
    <w:rsid w:val="002D782D"/>
    <w:rsid w:val="002E0D02"/>
    <w:rsid w:val="002E5C19"/>
    <w:rsid w:val="002E648F"/>
    <w:rsid w:val="002F0E7D"/>
    <w:rsid w:val="002F16B6"/>
    <w:rsid w:val="002F2DFE"/>
    <w:rsid w:val="002F57BD"/>
    <w:rsid w:val="002F5DF2"/>
    <w:rsid w:val="002F739A"/>
    <w:rsid w:val="003006BA"/>
    <w:rsid w:val="00301B84"/>
    <w:rsid w:val="00303537"/>
    <w:rsid w:val="003215C8"/>
    <w:rsid w:val="003233C2"/>
    <w:rsid w:val="00323F56"/>
    <w:rsid w:val="00325384"/>
    <w:rsid w:val="00331061"/>
    <w:rsid w:val="00331C2E"/>
    <w:rsid w:val="00342FA5"/>
    <w:rsid w:val="003434A5"/>
    <w:rsid w:val="0035480D"/>
    <w:rsid w:val="00355E62"/>
    <w:rsid w:val="003572A7"/>
    <w:rsid w:val="0036191F"/>
    <w:rsid w:val="00362CE2"/>
    <w:rsid w:val="003666B4"/>
    <w:rsid w:val="00367007"/>
    <w:rsid w:val="00373EA7"/>
    <w:rsid w:val="00374225"/>
    <w:rsid w:val="003744EA"/>
    <w:rsid w:val="00382580"/>
    <w:rsid w:val="0038329B"/>
    <w:rsid w:val="00383563"/>
    <w:rsid w:val="00386303"/>
    <w:rsid w:val="00392871"/>
    <w:rsid w:val="00393BB7"/>
    <w:rsid w:val="003A3E37"/>
    <w:rsid w:val="003A460C"/>
    <w:rsid w:val="003B3C73"/>
    <w:rsid w:val="003B3C96"/>
    <w:rsid w:val="003B6AAC"/>
    <w:rsid w:val="003C0D0F"/>
    <w:rsid w:val="003C4559"/>
    <w:rsid w:val="003C65AA"/>
    <w:rsid w:val="003D20F3"/>
    <w:rsid w:val="003D3741"/>
    <w:rsid w:val="003E346A"/>
    <w:rsid w:val="003E3569"/>
    <w:rsid w:val="003E71F8"/>
    <w:rsid w:val="003F071C"/>
    <w:rsid w:val="003F2907"/>
    <w:rsid w:val="00402F56"/>
    <w:rsid w:val="00404D2F"/>
    <w:rsid w:val="00405779"/>
    <w:rsid w:val="0040598B"/>
    <w:rsid w:val="00411B6D"/>
    <w:rsid w:val="00414480"/>
    <w:rsid w:val="004170A5"/>
    <w:rsid w:val="004174EC"/>
    <w:rsid w:val="00433C14"/>
    <w:rsid w:val="004442C0"/>
    <w:rsid w:val="00453585"/>
    <w:rsid w:val="00453917"/>
    <w:rsid w:val="00457E8C"/>
    <w:rsid w:val="0047145F"/>
    <w:rsid w:val="00472176"/>
    <w:rsid w:val="004739EE"/>
    <w:rsid w:val="00475251"/>
    <w:rsid w:val="00475A0E"/>
    <w:rsid w:val="004766E6"/>
    <w:rsid w:val="00480ADA"/>
    <w:rsid w:val="00483A04"/>
    <w:rsid w:val="00487B58"/>
    <w:rsid w:val="00491375"/>
    <w:rsid w:val="00494013"/>
    <w:rsid w:val="00496AF4"/>
    <w:rsid w:val="004A4122"/>
    <w:rsid w:val="004A77CF"/>
    <w:rsid w:val="004B3F16"/>
    <w:rsid w:val="004C1171"/>
    <w:rsid w:val="004C1580"/>
    <w:rsid w:val="004C1BCF"/>
    <w:rsid w:val="004C2D39"/>
    <w:rsid w:val="004C62FE"/>
    <w:rsid w:val="004D0517"/>
    <w:rsid w:val="004D49AB"/>
    <w:rsid w:val="004D52D3"/>
    <w:rsid w:val="004E33CD"/>
    <w:rsid w:val="004E6525"/>
    <w:rsid w:val="004F0489"/>
    <w:rsid w:val="004F1B48"/>
    <w:rsid w:val="004F42A3"/>
    <w:rsid w:val="004F7989"/>
    <w:rsid w:val="00503089"/>
    <w:rsid w:val="00510538"/>
    <w:rsid w:val="005137A0"/>
    <w:rsid w:val="005151CB"/>
    <w:rsid w:val="005222B1"/>
    <w:rsid w:val="00523064"/>
    <w:rsid w:val="00524100"/>
    <w:rsid w:val="00524843"/>
    <w:rsid w:val="0052521B"/>
    <w:rsid w:val="0053011C"/>
    <w:rsid w:val="00537A4A"/>
    <w:rsid w:val="00537BBB"/>
    <w:rsid w:val="00540893"/>
    <w:rsid w:val="00541F70"/>
    <w:rsid w:val="00545193"/>
    <w:rsid w:val="00561808"/>
    <w:rsid w:val="005716BC"/>
    <w:rsid w:val="00572169"/>
    <w:rsid w:val="00573DC8"/>
    <w:rsid w:val="005749EC"/>
    <w:rsid w:val="005803F4"/>
    <w:rsid w:val="00584DD7"/>
    <w:rsid w:val="005859B6"/>
    <w:rsid w:val="005905FF"/>
    <w:rsid w:val="00596BFB"/>
    <w:rsid w:val="005A3F60"/>
    <w:rsid w:val="005B02A8"/>
    <w:rsid w:val="005B54C1"/>
    <w:rsid w:val="005B7816"/>
    <w:rsid w:val="005B7978"/>
    <w:rsid w:val="005B7D91"/>
    <w:rsid w:val="005C0063"/>
    <w:rsid w:val="005C3911"/>
    <w:rsid w:val="005C58FF"/>
    <w:rsid w:val="005C6F98"/>
    <w:rsid w:val="005E0BDD"/>
    <w:rsid w:val="005E4F4F"/>
    <w:rsid w:val="005E6902"/>
    <w:rsid w:val="005F310C"/>
    <w:rsid w:val="005F3572"/>
    <w:rsid w:val="005F4617"/>
    <w:rsid w:val="005F526F"/>
    <w:rsid w:val="005F5A8C"/>
    <w:rsid w:val="005F75BF"/>
    <w:rsid w:val="00600506"/>
    <w:rsid w:val="00604647"/>
    <w:rsid w:val="0060702E"/>
    <w:rsid w:val="006129C6"/>
    <w:rsid w:val="00615D87"/>
    <w:rsid w:val="006268E6"/>
    <w:rsid w:val="00626BC6"/>
    <w:rsid w:val="006272F7"/>
    <w:rsid w:val="006307E7"/>
    <w:rsid w:val="00631F13"/>
    <w:rsid w:val="00632936"/>
    <w:rsid w:val="006416E3"/>
    <w:rsid w:val="006427F9"/>
    <w:rsid w:val="006459AC"/>
    <w:rsid w:val="00657CEB"/>
    <w:rsid w:val="00666FD7"/>
    <w:rsid w:val="0067680C"/>
    <w:rsid w:val="00690B12"/>
    <w:rsid w:val="00691294"/>
    <w:rsid w:val="00694C09"/>
    <w:rsid w:val="006960E4"/>
    <w:rsid w:val="006A0993"/>
    <w:rsid w:val="006A1922"/>
    <w:rsid w:val="006A34D5"/>
    <w:rsid w:val="006B22D8"/>
    <w:rsid w:val="006B370D"/>
    <w:rsid w:val="006B6C5F"/>
    <w:rsid w:val="006B6CA8"/>
    <w:rsid w:val="006C1C54"/>
    <w:rsid w:val="006D2364"/>
    <w:rsid w:val="006E1C09"/>
    <w:rsid w:val="006F3B70"/>
    <w:rsid w:val="006F3E9A"/>
    <w:rsid w:val="006F5130"/>
    <w:rsid w:val="00703ED4"/>
    <w:rsid w:val="0070532F"/>
    <w:rsid w:val="00706B39"/>
    <w:rsid w:val="00707730"/>
    <w:rsid w:val="007111B5"/>
    <w:rsid w:val="007174A4"/>
    <w:rsid w:val="00720383"/>
    <w:rsid w:val="007214CE"/>
    <w:rsid w:val="0072323D"/>
    <w:rsid w:val="0073230D"/>
    <w:rsid w:val="007355CD"/>
    <w:rsid w:val="00741849"/>
    <w:rsid w:val="007444CA"/>
    <w:rsid w:val="00747F7E"/>
    <w:rsid w:val="00751680"/>
    <w:rsid w:val="00756B85"/>
    <w:rsid w:val="00764885"/>
    <w:rsid w:val="00770AFA"/>
    <w:rsid w:val="007717B5"/>
    <w:rsid w:val="00773EC4"/>
    <w:rsid w:val="00775EF0"/>
    <w:rsid w:val="007767D8"/>
    <w:rsid w:val="007802CE"/>
    <w:rsid w:val="007817D8"/>
    <w:rsid w:val="00783B9A"/>
    <w:rsid w:val="007A054B"/>
    <w:rsid w:val="007A3EEA"/>
    <w:rsid w:val="007A54BC"/>
    <w:rsid w:val="007B2E12"/>
    <w:rsid w:val="007B5A27"/>
    <w:rsid w:val="007C0D65"/>
    <w:rsid w:val="007C3C26"/>
    <w:rsid w:val="007E63DA"/>
    <w:rsid w:val="007F1578"/>
    <w:rsid w:val="007F277A"/>
    <w:rsid w:val="007F5D63"/>
    <w:rsid w:val="00804744"/>
    <w:rsid w:val="00815D9C"/>
    <w:rsid w:val="00816FAC"/>
    <w:rsid w:val="00817F34"/>
    <w:rsid w:val="0082202F"/>
    <w:rsid w:val="0083334A"/>
    <w:rsid w:val="0083486B"/>
    <w:rsid w:val="00841682"/>
    <w:rsid w:val="00842F19"/>
    <w:rsid w:val="00843CDF"/>
    <w:rsid w:val="008441D0"/>
    <w:rsid w:val="0084575B"/>
    <w:rsid w:val="00854BEA"/>
    <w:rsid w:val="00855145"/>
    <w:rsid w:val="00860B99"/>
    <w:rsid w:val="00861AEC"/>
    <w:rsid w:val="00862B20"/>
    <w:rsid w:val="008639CB"/>
    <w:rsid w:val="0087603B"/>
    <w:rsid w:val="00876B48"/>
    <w:rsid w:val="0087714D"/>
    <w:rsid w:val="00880138"/>
    <w:rsid w:val="0088207C"/>
    <w:rsid w:val="00887967"/>
    <w:rsid w:val="008918E7"/>
    <w:rsid w:val="00894ADA"/>
    <w:rsid w:val="008A494C"/>
    <w:rsid w:val="008A7749"/>
    <w:rsid w:val="008B6911"/>
    <w:rsid w:val="008B7A23"/>
    <w:rsid w:val="008C0624"/>
    <w:rsid w:val="008C1950"/>
    <w:rsid w:val="008C1E1F"/>
    <w:rsid w:val="008C2912"/>
    <w:rsid w:val="008C35FB"/>
    <w:rsid w:val="008D43C4"/>
    <w:rsid w:val="008E3C07"/>
    <w:rsid w:val="008E50BE"/>
    <w:rsid w:val="008F51C9"/>
    <w:rsid w:val="008F60CB"/>
    <w:rsid w:val="009006D1"/>
    <w:rsid w:val="00901615"/>
    <w:rsid w:val="0090307D"/>
    <w:rsid w:val="00904E67"/>
    <w:rsid w:val="00906BC0"/>
    <w:rsid w:val="00906DE4"/>
    <w:rsid w:val="00906FD7"/>
    <w:rsid w:val="009073EB"/>
    <w:rsid w:val="00911123"/>
    <w:rsid w:val="009115E2"/>
    <w:rsid w:val="00917B7A"/>
    <w:rsid w:val="0092052C"/>
    <w:rsid w:val="00923BEF"/>
    <w:rsid w:val="00924CD9"/>
    <w:rsid w:val="009301EC"/>
    <w:rsid w:val="0093206E"/>
    <w:rsid w:val="00935364"/>
    <w:rsid w:val="009375AB"/>
    <w:rsid w:val="00943F05"/>
    <w:rsid w:val="009508C1"/>
    <w:rsid w:val="00951A81"/>
    <w:rsid w:val="00961308"/>
    <w:rsid w:val="00967563"/>
    <w:rsid w:val="009757EA"/>
    <w:rsid w:val="00984EC1"/>
    <w:rsid w:val="00991B90"/>
    <w:rsid w:val="00995464"/>
    <w:rsid w:val="009A1BBE"/>
    <w:rsid w:val="009C177D"/>
    <w:rsid w:val="009C5E8B"/>
    <w:rsid w:val="009C648A"/>
    <w:rsid w:val="009D0820"/>
    <w:rsid w:val="009D1B50"/>
    <w:rsid w:val="009D38F8"/>
    <w:rsid w:val="009D3D08"/>
    <w:rsid w:val="009D4C15"/>
    <w:rsid w:val="009E5856"/>
    <w:rsid w:val="009F4A88"/>
    <w:rsid w:val="00A00A50"/>
    <w:rsid w:val="00A00AE5"/>
    <w:rsid w:val="00A00BE6"/>
    <w:rsid w:val="00A01E7D"/>
    <w:rsid w:val="00A03B17"/>
    <w:rsid w:val="00A04F72"/>
    <w:rsid w:val="00A06AC2"/>
    <w:rsid w:val="00A07E54"/>
    <w:rsid w:val="00A1413E"/>
    <w:rsid w:val="00A2733C"/>
    <w:rsid w:val="00A31C87"/>
    <w:rsid w:val="00A348E6"/>
    <w:rsid w:val="00A36907"/>
    <w:rsid w:val="00A41BCB"/>
    <w:rsid w:val="00A43348"/>
    <w:rsid w:val="00A43BED"/>
    <w:rsid w:val="00A444C7"/>
    <w:rsid w:val="00A5649E"/>
    <w:rsid w:val="00A57E76"/>
    <w:rsid w:val="00A70D3D"/>
    <w:rsid w:val="00A725D7"/>
    <w:rsid w:val="00A74382"/>
    <w:rsid w:val="00A86D86"/>
    <w:rsid w:val="00A92DDF"/>
    <w:rsid w:val="00A95944"/>
    <w:rsid w:val="00AA399F"/>
    <w:rsid w:val="00AA625D"/>
    <w:rsid w:val="00AA7473"/>
    <w:rsid w:val="00AB17EA"/>
    <w:rsid w:val="00AB1CA7"/>
    <w:rsid w:val="00AB436B"/>
    <w:rsid w:val="00AD0FF3"/>
    <w:rsid w:val="00AD5B1D"/>
    <w:rsid w:val="00AE034F"/>
    <w:rsid w:val="00AE35F7"/>
    <w:rsid w:val="00AE3833"/>
    <w:rsid w:val="00AF0775"/>
    <w:rsid w:val="00AF6BB4"/>
    <w:rsid w:val="00B0140B"/>
    <w:rsid w:val="00B01C20"/>
    <w:rsid w:val="00B020F1"/>
    <w:rsid w:val="00B06B7C"/>
    <w:rsid w:val="00B10E87"/>
    <w:rsid w:val="00B11646"/>
    <w:rsid w:val="00B17B6A"/>
    <w:rsid w:val="00B17BC9"/>
    <w:rsid w:val="00B217CB"/>
    <w:rsid w:val="00B2342F"/>
    <w:rsid w:val="00B2650D"/>
    <w:rsid w:val="00B32248"/>
    <w:rsid w:val="00B34912"/>
    <w:rsid w:val="00B37DD6"/>
    <w:rsid w:val="00B43487"/>
    <w:rsid w:val="00B4430A"/>
    <w:rsid w:val="00B45404"/>
    <w:rsid w:val="00B506BC"/>
    <w:rsid w:val="00B51B60"/>
    <w:rsid w:val="00B5218B"/>
    <w:rsid w:val="00B57686"/>
    <w:rsid w:val="00B64F07"/>
    <w:rsid w:val="00B7076A"/>
    <w:rsid w:val="00B7749D"/>
    <w:rsid w:val="00B77CC6"/>
    <w:rsid w:val="00B87EE7"/>
    <w:rsid w:val="00B90A6D"/>
    <w:rsid w:val="00B92AB1"/>
    <w:rsid w:val="00B9416B"/>
    <w:rsid w:val="00BA268D"/>
    <w:rsid w:val="00BA5CC6"/>
    <w:rsid w:val="00BB1B8F"/>
    <w:rsid w:val="00BB3B00"/>
    <w:rsid w:val="00BC061E"/>
    <w:rsid w:val="00BD3E16"/>
    <w:rsid w:val="00BD49F1"/>
    <w:rsid w:val="00BE0331"/>
    <w:rsid w:val="00BE542F"/>
    <w:rsid w:val="00BE6AB7"/>
    <w:rsid w:val="00BF0055"/>
    <w:rsid w:val="00BF0DAC"/>
    <w:rsid w:val="00BF1707"/>
    <w:rsid w:val="00BF5A67"/>
    <w:rsid w:val="00C01EF5"/>
    <w:rsid w:val="00C059A1"/>
    <w:rsid w:val="00C05B36"/>
    <w:rsid w:val="00C0711A"/>
    <w:rsid w:val="00C12652"/>
    <w:rsid w:val="00C165ED"/>
    <w:rsid w:val="00C17F87"/>
    <w:rsid w:val="00C33F0C"/>
    <w:rsid w:val="00C35CCB"/>
    <w:rsid w:val="00C41711"/>
    <w:rsid w:val="00C41A54"/>
    <w:rsid w:val="00C46CFB"/>
    <w:rsid w:val="00C47B64"/>
    <w:rsid w:val="00C47F2A"/>
    <w:rsid w:val="00C51440"/>
    <w:rsid w:val="00C51B1D"/>
    <w:rsid w:val="00C53279"/>
    <w:rsid w:val="00C613AD"/>
    <w:rsid w:val="00C65761"/>
    <w:rsid w:val="00C73197"/>
    <w:rsid w:val="00C73A3D"/>
    <w:rsid w:val="00C76C14"/>
    <w:rsid w:val="00C8131A"/>
    <w:rsid w:val="00C857A6"/>
    <w:rsid w:val="00C86328"/>
    <w:rsid w:val="00C90775"/>
    <w:rsid w:val="00C92984"/>
    <w:rsid w:val="00C955A8"/>
    <w:rsid w:val="00C961E1"/>
    <w:rsid w:val="00CA2851"/>
    <w:rsid w:val="00CA3C1C"/>
    <w:rsid w:val="00CA6CA9"/>
    <w:rsid w:val="00CB35FE"/>
    <w:rsid w:val="00CC2D0D"/>
    <w:rsid w:val="00CC6E0E"/>
    <w:rsid w:val="00CD01C4"/>
    <w:rsid w:val="00CD3D64"/>
    <w:rsid w:val="00CD4281"/>
    <w:rsid w:val="00CD61EA"/>
    <w:rsid w:val="00CE693D"/>
    <w:rsid w:val="00CF35CF"/>
    <w:rsid w:val="00D039A5"/>
    <w:rsid w:val="00D03C24"/>
    <w:rsid w:val="00D074B7"/>
    <w:rsid w:val="00D11119"/>
    <w:rsid w:val="00D137AC"/>
    <w:rsid w:val="00D14A84"/>
    <w:rsid w:val="00D2022C"/>
    <w:rsid w:val="00D2076F"/>
    <w:rsid w:val="00D21FA8"/>
    <w:rsid w:val="00D269AD"/>
    <w:rsid w:val="00D37CE9"/>
    <w:rsid w:val="00D42169"/>
    <w:rsid w:val="00D4220F"/>
    <w:rsid w:val="00D443D3"/>
    <w:rsid w:val="00D4736F"/>
    <w:rsid w:val="00D47C21"/>
    <w:rsid w:val="00D560D0"/>
    <w:rsid w:val="00D57AD5"/>
    <w:rsid w:val="00D62963"/>
    <w:rsid w:val="00D731AD"/>
    <w:rsid w:val="00D73641"/>
    <w:rsid w:val="00D7522C"/>
    <w:rsid w:val="00D76E07"/>
    <w:rsid w:val="00D81341"/>
    <w:rsid w:val="00D8142C"/>
    <w:rsid w:val="00D83363"/>
    <w:rsid w:val="00D83DC0"/>
    <w:rsid w:val="00D908B6"/>
    <w:rsid w:val="00D954BC"/>
    <w:rsid w:val="00D9741B"/>
    <w:rsid w:val="00DA0E99"/>
    <w:rsid w:val="00DA11E6"/>
    <w:rsid w:val="00DA1A3A"/>
    <w:rsid w:val="00DA3253"/>
    <w:rsid w:val="00DA3C59"/>
    <w:rsid w:val="00DB1095"/>
    <w:rsid w:val="00DC18E2"/>
    <w:rsid w:val="00DE792F"/>
    <w:rsid w:val="00DE7C88"/>
    <w:rsid w:val="00DF1942"/>
    <w:rsid w:val="00DF298D"/>
    <w:rsid w:val="00DF43E6"/>
    <w:rsid w:val="00E05BE2"/>
    <w:rsid w:val="00E0726C"/>
    <w:rsid w:val="00E11325"/>
    <w:rsid w:val="00E1367B"/>
    <w:rsid w:val="00E15858"/>
    <w:rsid w:val="00E16B56"/>
    <w:rsid w:val="00E25D56"/>
    <w:rsid w:val="00E34E43"/>
    <w:rsid w:val="00E407D8"/>
    <w:rsid w:val="00E45B29"/>
    <w:rsid w:val="00E62688"/>
    <w:rsid w:val="00E64ADF"/>
    <w:rsid w:val="00E65422"/>
    <w:rsid w:val="00E66BB9"/>
    <w:rsid w:val="00E71BF7"/>
    <w:rsid w:val="00E727BA"/>
    <w:rsid w:val="00E810B7"/>
    <w:rsid w:val="00E92A71"/>
    <w:rsid w:val="00EA1185"/>
    <w:rsid w:val="00EA3C46"/>
    <w:rsid w:val="00EA46DC"/>
    <w:rsid w:val="00EA5DE7"/>
    <w:rsid w:val="00EA6C58"/>
    <w:rsid w:val="00EB40A7"/>
    <w:rsid w:val="00EB4AE6"/>
    <w:rsid w:val="00EC1DFF"/>
    <w:rsid w:val="00EC1F23"/>
    <w:rsid w:val="00ED4A77"/>
    <w:rsid w:val="00ED701B"/>
    <w:rsid w:val="00ED710A"/>
    <w:rsid w:val="00ED72FA"/>
    <w:rsid w:val="00EE53A1"/>
    <w:rsid w:val="00EE62C5"/>
    <w:rsid w:val="00EF0024"/>
    <w:rsid w:val="00EF072A"/>
    <w:rsid w:val="00EF180F"/>
    <w:rsid w:val="00EF18AC"/>
    <w:rsid w:val="00EF443A"/>
    <w:rsid w:val="00F05E40"/>
    <w:rsid w:val="00F11C94"/>
    <w:rsid w:val="00F138C8"/>
    <w:rsid w:val="00F14909"/>
    <w:rsid w:val="00F1739C"/>
    <w:rsid w:val="00F22714"/>
    <w:rsid w:val="00F25062"/>
    <w:rsid w:val="00F31C78"/>
    <w:rsid w:val="00F366D1"/>
    <w:rsid w:val="00F53C7D"/>
    <w:rsid w:val="00F57B11"/>
    <w:rsid w:val="00F65CDF"/>
    <w:rsid w:val="00F70F43"/>
    <w:rsid w:val="00F718E8"/>
    <w:rsid w:val="00F751FD"/>
    <w:rsid w:val="00F8098C"/>
    <w:rsid w:val="00F8192E"/>
    <w:rsid w:val="00F83995"/>
    <w:rsid w:val="00F90833"/>
    <w:rsid w:val="00F959E9"/>
    <w:rsid w:val="00F972C3"/>
    <w:rsid w:val="00FA181D"/>
    <w:rsid w:val="00FA7A83"/>
    <w:rsid w:val="00FB0D15"/>
    <w:rsid w:val="00FB25FB"/>
    <w:rsid w:val="00FB3807"/>
    <w:rsid w:val="00FB4BA4"/>
    <w:rsid w:val="00FB72BD"/>
    <w:rsid w:val="00FB7CF1"/>
    <w:rsid w:val="00FC7F37"/>
    <w:rsid w:val="00FD2957"/>
    <w:rsid w:val="00FD5545"/>
    <w:rsid w:val="00FD5BD5"/>
    <w:rsid w:val="00FE4D3A"/>
    <w:rsid w:val="00FF1281"/>
    <w:rsid w:val="06B17D08"/>
    <w:rsid w:val="0C9475FE"/>
    <w:rsid w:val="0D0C53E6"/>
    <w:rsid w:val="0F4B74E7"/>
    <w:rsid w:val="12251FED"/>
    <w:rsid w:val="14CA08A7"/>
    <w:rsid w:val="15850960"/>
    <w:rsid w:val="1780534F"/>
    <w:rsid w:val="17F65611"/>
    <w:rsid w:val="192403D5"/>
    <w:rsid w:val="195F2D42"/>
    <w:rsid w:val="1E237C78"/>
    <w:rsid w:val="1EF53F2C"/>
    <w:rsid w:val="205F453F"/>
    <w:rsid w:val="20692E24"/>
    <w:rsid w:val="219A0F17"/>
    <w:rsid w:val="223937C9"/>
    <w:rsid w:val="23A221A9"/>
    <w:rsid w:val="262E5F76"/>
    <w:rsid w:val="26487037"/>
    <w:rsid w:val="29780D89"/>
    <w:rsid w:val="2ACE5F14"/>
    <w:rsid w:val="2D992089"/>
    <w:rsid w:val="2F4329C0"/>
    <w:rsid w:val="300A7A53"/>
    <w:rsid w:val="34963664"/>
    <w:rsid w:val="34C765C6"/>
    <w:rsid w:val="3C205F04"/>
    <w:rsid w:val="3D485717"/>
    <w:rsid w:val="3FA27361"/>
    <w:rsid w:val="41877BDC"/>
    <w:rsid w:val="42287B4F"/>
    <w:rsid w:val="44823F69"/>
    <w:rsid w:val="45D82021"/>
    <w:rsid w:val="464A3A0C"/>
    <w:rsid w:val="4C731397"/>
    <w:rsid w:val="50BF5B17"/>
    <w:rsid w:val="548331DE"/>
    <w:rsid w:val="54F84FB5"/>
    <w:rsid w:val="57BA4ACA"/>
    <w:rsid w:val="59C951F5"/>
    <w:rsid w:val="5C3C5BB8"/>
    <w:rsid w:val="5C83328F"/>
    <w:rsid w:val="5F126782"/>
    <w:rsid w:val="644B3070"/>
    <w:rsid w:val="65F8567D"/>
    <w:rsid w:val="6603474A"/>
    <w:rsid w:val="682F4983"/>
    <w:rsid w:val="6CC00615"/>
    <w:rsid w:val="77735F0F"/>
    <w:rsid w:val="77BB758E"/>
    <w:rsid w:val="79F20AE7"/>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4">
    <w:name w:val="annotation text"/>
    <w:basedOn w:val="1"/>
    <w:link w:val="24"/>
    <w:qFormat/>
    <w:uiPriority w:val="0"/>
    <w:pPr>
      <w:jc w:val="left"/>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5"/>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character" w:customStyle="1" w:styleId="16">
    <w:name w:val="font11"/>
    <w:basedOn w:val="13"/>
    <w:qFormat/>
    <w:uiPriority w:val="0"/>
    <w:rPr>
      <w:rFonts w:hint="eastAsia" w:ascii="宋体" w:hAnsi="宋体" w:eastAsia="宋体" w:cs="宋体"/>
      <w:b/>
      <w:bCs/>
      <w:color w:val="000000"/>
      <w:sz w:val="22"/>
      <w:szCs w:val="22"/>
      <w:u w:val="none"/>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页眉 字符"/>
    <w:basedOn w:val="13"/>
    <w:link w:val="6"/>
    <w:qFormat/>
    <w:uiPriority w:val="99"/>
    <w:rPr>
      <w:rFonts w:asciiTheme="minorHAnsi" w:hAnsiTheme="minorHAnsi" w:eastAsiaTheme="minorEastAsia" w:cstheme="minorBidi"/>
      <w:kern w:val="2"/>
      <w:sz w:val="18"/>
      <w:szCs w:val="18"/>
    </w:rPr>
  </w:style>
  <w:style w:type="character" w:customStyle="1" w:styleId="19">
    <w:name w:val="页脚 字符"/>
    <w:basedOn w:val="13"/>
    <w:link w:val="5"/>
    <w:qFormat/>
    <w:uiPriority w:val="99"/>
    <w:rPr>
      <w:rFonts w:asciiTheme="minorHAnsi" w:hAnsiTheme="minorHAnsi" w:eastAsiaTheme="minorEastAsia" w:cstheme="minorBidi"/>
      <w:kern w:val="2"/>
      <w:sz w:val="18"/>
      <w:szCs w:val="18"/>
    </w:rPr>
  </w:style>
  <w:style w:type="paragraph" w:customStyle="1" w:styleId="2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标题 1 字符"/>
    <w:basedOn w:val="13"/>
    <w:link w:val="3"/>
    <w:qFormat/>
    <w:uiPriority w:val="0"/>
    <w:rPr>
      <w:rFonts w:asciiTheme="minorHAnsi" w:hAnsiTheme="minorHAnsi" w:eastAsiaTheme="minorEastAsia" w:cstheme="minorBidi"/>
      <w:b/>
      <w:bCs/>
      <w:kern w:val="44"/>
      <w:sz w:val="44"/>
      <w:szCs w:val="44"/>
    </w:rPr>
  </w:style>
  <w:style w:type="character" w:customStyle="1" w:styleId="22">
    <w:name w:val="style31"/>
    <w:qFormat/>
    <w:uiPriority w:val="0"/>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3"/>
    <w:link w:val="4"/>
    <w:qFormat/>
    <w:uiPriority w:val="0"/>
    <w:rPr>
      <w:rFonts w:asciiTheme="minorHAnsi" w:hAnsiTheme="minorHAnsi" w:eastAsiaTheme="minorEastAsia" w:cstheme="minorBidi"/>
      <w:kern w:val="2"/>
      <w:sz w:val="21"/>
      <w:szCs w:val="22"/>
    </w:rPr>
  </w:style>
  <w:style w:type="character" w:customStyle="1" w:styleId="25">
    <w:name w:val="批注主题 字符"/>
    <w:basedOn w:val="24"/>
    <w:link w:val="10"/>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C54D-AAEF-4AD3-B8D9-2251A71CC694}">
  <ds:schemaRefs/>
</ds:datastoreItem>
</file>

<file path=docProps/app.xml><?xml version="1.0" encoding="utf-8"?>
<Properties xmlns="http://schemas.openxmlformats.org/officeDocument/2006/extended-properties" xmlns:vt="http://schemas.openxmlformats.org/officeDocument/2006/docPropsVTypes">
  <Template>Normal</Template>
  <Pages>16</Pages>
  <Words>6427</Words>
  <Characters>6819</Characters>
  <Lines>67</Lines>
  <Paragraphs>19</Paragraphs>
  <TotalTime>17</TotalTime>
  <ScaleCrop>false</ScaleCrop>
  <LinksUpToDate>false</LinksUpToDate>
  <CharactersWithSpaces>6880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2022-05-11T14:56:00Z</dcterms:created>
  <dc:creator>PC</dc:creator>
  <cp:lastModifiedBy>henry๛恒</cp:lastModifiedBy>
  <dcterms:modified xsi:type="dcterms:W3CDTF">2024-11-07T00:30:36Z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7AEAF98B11214D9F94D5041C71CF20A5_13</vt:lpwstr>
  </property>
</Properties>
</file>