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0D23FD" w14:textId="77777777" w:rsidR="00D36E36" w:rsidRDefault="00D36E3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  <w:lang w:val="zh-CN"/>
        </w:rPr>
      </w:pPr>
    </w:p>
    <w:p w14:paraId="4D2A5F2D" w14:textId="77777777" w:rsidR="00D36E36" w:rsidRDefault="00D36E3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  <w:lang w:val="zh-CN"/>
        </w:rPr>
      </w:pPr>
    </w:p>
    <w:p w14:paraId="6D921903" w14:textId="77777777" w:rsidR="00D36E36" w:rsidRDefault="00D36E3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  <w:lang w:val="zh-CN"/>
        </w:rPr>
      </w:pPr>
    </w:p>
    <w:p w14:paraId="18D68CDE" w14:textId="77777777" w:rsidR="00D36E36" w:rsidRPr="00696868" w:rsidRDefault="000C532B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  <w:lang w:val="zh-CN"/>
        </w:rPr>
      </w:pPr>
      <w:r w:rsidRPr="00696868">
        <w:rPr>
          <w:rFonts w:ascii="Times New Roman" w:eastAsia="黑体" w:hAnsi="Times New Roman" w:cs="Times New Roman" w:hint="eastAsia"/>
          <w:b/>
          <w:sz w:val="52"/>
          <w:szCs w:val="52"/>
          <w:lang w:val="zh-CN"/>
        </w:rPr>
        <w:t>北京市公安局公安交通管理局</w:t>
      </w:r>
    </w:p>
    <w:p w14:paraId="79E6CF07" w14:textId="77777777" w:rsidR="00D36E36" w:rsidRPr="00696868" w:rsidRDefault="000C532B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52"/>
          <w:szCs w:val="52"/>
          <w:lang w:val="zh-CN"/>
        </w:rPr>
      </w:pPr>
      <w:r w:rsidRPr="00696868">
        <w:rPr>
          <w:rFonts w:ascii="Times New Roman" w:eastAsia="黑体" w:hAnsi="Times New Roman" w:cs="Times New Roman"/>
          <w:b/>
          <w:sz w:val="52"/>
          <w:szCs w:val="52"/>
          <w:lang w:val="zh-CN"/>
        </w:rPr>
        <w:t>202</w:t>
      </w:r>
      <w:r w:rsidRPr="00696868">
        <w:rPr>
          <w:rFonts w:ascii="Times New Roman" w:eastAsia="黑体" w:hAnsi="Times New Roman" w:cs="Times New Roman" w:hint="eastAsia"/>
          <w:b/>
          <w:sz w:val="52"/>
          <w:szCs w:val="52"/>
          <w:lang w:val="zh-CN"/>
        </w:rPr>
        <w:t>4</w:t>
      </w:r>
      <w:r w:rsidRPr="00696868">
        <w:rPr>
          <w:rFonts w:ascii="Times New Roman" w:eastAsia="黑体" w:hAnsi="Times New Roman" w:cs="Times New Roman"/>
          <w:b/>
          <w:sz w:val="52"/>
          <w:szCs w:val="52"/>
          <w:lang w:val="zh-CN"/>
        </w:rPr>
        <w:t>年度部门整体绩效</w:t>
      </w:r>
      <w:r w:rsidRPr="00696868">
        <w:rPr>
          <w:rFonts w:ascii="Times New Roman" w:eastAsia="黑体" w:hAnsi="Times New Roman" w:cs="Times New Roman" w:hint="eastAsia"/>
          <w:b/>
          <w:sz w:val="52"/>
          <w:szCs w:val="52"/>
          <w:lang w:val="zh-CN"/>
        </w:rPr>
        <w:t>评价</w:t>
      </w:r>
      <w:r w:rsidRPr="00696868">
        <w:rPr>
          <w:rFonts w:ascii="Times New Roman" w:eastAsia="黑体" w:hAnsi="Times New Roman" w:cs="Times New Roman"/>
          <w:b/>
          <w:sz w:val="52"/>
          <w:szCs w:val="52"/>
          <w:lang w:val="zh-CN"/>
        </w:rPr>
        <w:t>报告</w:t>
      </w:r>
    </w:p>
    <w:p w14:paraId="26A12A18" w14:textId="77777777" w:rsidR="00D36E36" w:rsidRPr="00696868" w:rsidRDefault="00D36E36">
      <w:pPr>
        <w:ind w:firstLine="640"/>
        <w:jc w:val="center"/>
        <w:rPr>
          <w:rFonts w:ascii="Times New Roman" w:hAnsi="Times New Roman" w:cs="Times New Roman"/>
          <w:color w:val="000000"/>
          <w:sz w:val="32"/>
        </w:rPr>
      </w:pPr>
    </w:p>
    <w:p w14:paraId="0FD89996" w14:textId="77777777" w:rsidR="00D36E36" w:rsidRPr="00696868" w:rsidRDefault="00D36E36">
      <w:pPr>
        <w:ind w:firstLine="640"/>
        <w:jc w:val="center"/>
        <w:rPr>
          <w:rFonts w:ascii="Times New Roman" w:hAnsi="Times New Roman" w:cs="Times New Roman"/>
          <w:color w:val="000000"/>
          <w:sz w:val="32"/>
        </w:rPr>
      </w:pPr>
    </w:p>
    <w:p w14:paraId="0388D22F" w14:textId="77777777" w:rsidR="00D36E36" w:rsidRPr="00696868" w:rsidRDefault="00D36E36">
      <w:pPr>
        <w:ind w:firstLine="640"/>
        <w:jc w:val="center"/>
        <w:rPr>
          <w:rFonts w:ascii="Times New Roman" w:hAnsi="Times New Roman" w:cs="Times New Roman"/>
          <w:color w:val="000000"/>
          <w:sz w:val="32"/>
        </w:rPr>
      </w:pPr>
    </w:p>
    <w:p w14:paraId="32F3FB83" w14:textId="77777777" w:rsidR="00D36E36" w:rsidRPr="00696868" w:rsidRDefault="00D36E36">
      <w:pPr>
        <w:ind w:firstLine="640"/>
        <w:jc w:val="center"/>
        <w:rPr>
          <w:rFonts w:ascii="Times New Roman" w:hAnsi="Times New Roman" w:cs="Times New Roman"/>
          <w:color w:val="000000"/>
          <w:sz w:val="32"/>
        </w:rPr>
      </w:pPr>
    </w:p>
    <w:p w14:paraId="5504B165" w14:textId="77777777" w:rsidR="00D36E36" w:rsidRPr="00696868" w:rsidRDefault="00D36E36">
      <w:pPr>
        <w:ind w:firstLine="640"/>
        <w:jc w:val="center"/>
        <w:rPr>
          <w:rFonts w:ascii="Times New Roman" w:hAnsi="Times New Roman" w:cs="Times New Roman"/>
          <w:color w:val="000000"/>
          <w:sz w:val="32"/>
        </w:rPr>
      </w:pPr>
    </w:p>
    <w:p w14:paraId="3016639B" w14:textId="77777777" w:rsidR="00D36E36" w:rsidRPr="00696868" w:rsidRDefault="00D36E36">
      <w:pPr>
        <w:ind w:firstLine="640"/>
        <w:rPr>
          <w:rFonts w:ascii="Times New Roman" w:hAnsi="Times New Roman" w:cs="Times New Roman"/>
          <w:color w:val="000000"/>
          <w:sz w:val="32"/>
        </w:rPr>
      </w:pPr>
    </w:p>
    <w:p w14:paraId="65F80B12" w14:textId="77777777" w:rsidR="00D36E36" w:rsidRPr="00696868" w:rsidRDefault="00D36E36">
      <w:pPr>
        <w:ind w:firstLine="643"/>
        <w:jc w:val="center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</w:p>
    <w:p w14:paraId="77CDA29A" w14:textId="77777777" w:rsidR="00D36E36" w:rsidRPr="00696868" w:rsidRDefault="00D36E36">
      <w:pPr>
        <w:ind w:firstLine="643"/>
        <w:jc w:val="center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</w:p>
    <w:p w14:paraId="26E3F1D2" w14:textId="77777777" w:rsidR="00D36E36" w:rsidRPr="00696868" w:rsidRDefault="00D36E36">
      <w:pPr>
        <w:ind w:firstLine="643"/>
        <w:jc w:val="center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</w:p>
    <w:p w14:paraId="11C0D325" w14:textId="77777777" w:rsidR="00D36E36" w:rsidRPr="00696868" w:rsidRDefault="00D36E36">
      <w:pPr>
        <w:ind w:firstLine="643"/>
        <w:jc w:val="center"/>
        <w:rPr>
          <w:rFonts w:ascii="Times New Roman" w:eastAsia="仿宋" w:hAnsi="Times New Roman" w:cs="Times New Roman"/>
          <w:b/>
          <w:color w:val="000000"/>
          <w:sz w:val="32"/>
          <w:szCs w:val="32"/>
        </w:rPr>
      </w:pPr>
    </w:p>
    <w:p w14:paraId="2D70DB5B" w14:textId="77777777" w:rsidR="00D36E36" w:rsidRPr="00696868" w:rsidRDefault="000C532B">
      <w:pPr>
        <w:jc w:val="center"/>
        <w:rPr>
          <w:rFonts w:ascii="Times New Roman" w:eastAsia="黑体" w:hAnsi="Times New Roman" w:cs="Times New Roman"/>
          <w:bCs/>
          <w:sz w:val="36"/>
          <w:szCs w:val="44"/>
        </w:rPr>
      </w:pPr>
      <w:r w:rsidRPr="00696868">
        <w:rPr>
          <w:rFonts w:ascii="Times New Roman" w:eastAsia="黑体" w:hAnsi="Times New Roman" w:cs="Times New Roman" w:hint="eastAsia"/>
          <w:bCs/>
          <w:sz w:val="36"/>
          <w:szCs w:val="44"/>
        </w:rPr>
        <w:t>北京市公安局公安交通管理局</w:t>
      </w:r>
    </w:p>
    <w:p w14:paraId="5D9BEC47" w14:textId="77777777" w:rsidR="00D36E36" w:rsidRPr="00696868" w:rsidRDefault="000C532B">
      <w:pPr>
        <w:jc w:val="center"/>
        <w:rPr>
          <w:rFonts w:ascii="Times New Roman" w:eastAsia="仿宋_GB2312" w:hAnsi="Times New Roman" w:cs="Times New Roman"/>
          <w:color w:val="000000"/>
          <w:sz w:val="24"/>
        </w:rPr>
      </w:pPr>
      <w:r w:rsidRPr="00696868">
        <w:rPr>
          <w:rFonts w:ascii="Times New Roman" w:eastAsia="黑体" w:hAnsi="Times New Roman" w:cs="Times New Roman"/>
          <w:bCs/>
          <w:sz w:val="36"/>
          <w:szCs w:val="44"/>
        </w:rPr>
        <w:t>202</w:t>
      </w:r>
      <w:r w:rsidRPr="00696868">
        <w:rPr>
          <w:rFonts w:ascii="Times New Roman" w:eastAsia="黑体" w:hAnsi="Times New Roman" w:cs="Times New Roman" w:hint="eastAsia"/>
          <w:bCs/>
          <w:sz w:val="36"/>
          <w:szCs w:val="44"/>
        </w:rPr>
        <w:t>5</w:t>
      </w:r>
      <w:r w:rsidRPr="00696868">
        <w:rPr>
          <w:rFonts w:ascii="Times New Roman" w:eastAsia="黑体" w:hAnsi="Times New Roman" w:cs="Times New Roman"/>
          <w:bCs/>
          <w:sz w:val="36"/>
          <w:szCs w:val="44"/>
        </w:rPr>
        <w:t>年</w:t>
      </w:r>
      <w:r w:rsidRPr="00696868">
        <w:rPr>
          <w:rFonts w:ascii="Times New Roman" w:eastAsia="黑体" w:hAnsi="Times New Roman" w:cs="Times New Roman"/>
          <w:bCs/>
          <w:sz w:val="36"/>
          <w:szCs w:val="44"/>
        </w:rPr>
        <w:t>5</w:t>
      </w:r>
      <w:r w:rsidRPr="00696868">
        <w:rPr>
          <w:rFonts w:ascii="Times New Roman" w:eastAsia="黑体" w:hAnsi="Times New Roman" w:cs="Times New Roman"/>
          <w:bCs/>
          <w:sz w:val="36"/>
          <w:szCs w:val="44"/>
        </w:rPr>
        <w:t>月</w:t>
      </w:r>
    </w:p>
    <w:p w14:paraId="41C43ECD" w14:textId="77777777" w:rsidR="00D36E36" w:rsidRPr="00696868" w:rsidRDefault="00D36E36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 w:cs="Times New Roman"/>
          <w:bCs/>
          <w:sz w:val="36"/>
          <w:szCs w:val="44"/>
        </w:rPr>
      </w:pPr>
    </w:p>
    <w:p w14:paraId="20AA249A" w14:textId="77777777" w:rsidR="00D36E36" w:rsidRPr="00696868" w:rsidRDefault="000C532B">
      <w:pPr>
        <w:widowControl/>
        <w:jc w:val="left"/>
        <w:rPr>
          <w:rFonts w:ascii="Times New Roman" w:eastAsia="华文中宋" w:hAnsi="Times New Roman" w:cs="Times New Roman"/>
          <w:bCs/>
          <w:sz w:val="36"/>
          <w:szCs w:val="44"/>
        </w:rPr>
        <w:sectPr w:rsidR="00D36E36" w:rsidRPr="00696868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696868">
        <w:rPr>
          <w:rFonts w:ascii="Times New Roman" w:eastAsia="华文中宋" w:hAnsi="Times New Roman" w:cs="Times New Roman"/>
          <w:bCs/>
          <w:sz w:val="36"/>
          <w:szCs w:val="44"/>
        </w:rPr>
        <w:br w:type="page"/>
      </w:r>
    </w:p>
    <w:sdt>
      <w:sdtPr>
        <w:rPr>
          <w:rFonts w:ascii="Times New Roman" w:eastAsiaTheme="minorEastAsia" w:hAnsi="Times New Roman" w:cs="Times New Roman"/>
          <w:color w:val="auto"/>
          <w:kern w:val="2"/>
          <w:sz w:val="21"/>
          <w:szCs w:val="22"/>
          <w:lang w:val="zh-CN"/>
        </w:rPr>
        <w:id w:val="-12559747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A4AF187" w14:textId="77777777" w:rsidR="00D36E36" w:rsidRPr="00696868" w:rsidRDefault="000C532B">
          <w:pPr>
            <w:pStyle w:val="TOC1"/>
            <w:jc w:val="center"/>
            <w:rPr>
              <w:rFonts w:ascii="Times New Roman" w:eastAsia="黑体" w:hAnsi="Times New Roman" w:cs="Times New Roman"/>
              <w:color w:val="000000" w:themeColor="text1"/>
            </w:rPr>
          </w:pPr>
          <w:r w:rsidRPr="00696868">
            <w:rPr>
              <w:rFonts w:ascii="Times New Roman" w:eastAsia="黑体" w:hAnsi="Times New Roman" w:cs="Times New Roman"/>
              <w:color w:val="000000" w:themeColor="text1"/>
              <w:lang w:val="zh-CN"/>
            </w:rPr>
            <w:t>目</w:t>
          </w:r>
          <w:r w:rsidRPr="00696868">
            <w:rPr>
              <w:rFonts w:ascii="Times New Roman" w:eastAsia="黑体" w:hAnsi="Times New Roman" w:cs="Times New Roman"/>
              <w:color w:val="000000" w:themeColor="text1"/>
              <w:lang w:val="zh-CN"/>
            </w:rPr>
            <w:t xml:space="preserve">  </w:t>
          </w:r>
          <w:r w:rsidRPr="00696868">
            <w:rPr>
              <w:rFonts w:ascii="Times New Roman" w:eastAsia="黑体" w:hAnsi="Times New Roman" w:cs="Times New Roman"/>
              <w:color w:val="000000" w:themeColor="text1"/>
              <w:lang w:val="zh-CN"/>
            </w:rPr>
            <w:t>录</w:t>
          </w:r>
        </w:p>
        <w:p w14:paraId="682089C1" w14:textId="77777777" w:rsidR="00D36E36" w:rsidRPr="00696868" w:rsidRDefault="000C532B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r w:rsidRPr="00696868">
            <w:rPr>
              <w:rFonts w:ascii="Times New Roman" w:hAnsi="Times New Roman" w:cs="Times New Roman"/>
              <w:sz w:val="32"/>
              <w:szCs w:val="32"/>
            </w:rPr>
            <w:fldChar w:fldCharType="begin"/>
          </w:r>
          <w:r w:rsidRPr="00696868">
            <w:rPr>
              <w:rFonts w:ascii="Times New Roman" w:hAnsi="Times New Roman" w:cs="Times New Roman"/>
              <w:sz w:val="32"/>
              <w:szCs w:val="32"/>
            </w:rPr>
            <w:instrText xml:space="preserve"> TOC \o "1-3" \h \z \u </w:instrText>
          </w:r>
          <w:r w:rsidRPr="00696868">
            <w:rPr>
              <w:rFonts w:ascii="Times New Roman" w:hAnsi="Times New Roman" w:cs="Times New Roman"/>
              <w:sz w:val="32"/>
              <w:szCs w:val="32"/>
            </w:rPr>
            <w:fldChar w:fldCharType="separate"/>
          </w:r>
          <w:hyperlink w:anchor="_Toc166255116" w:history="1">
            <w:r w:rsidRPr="00696868">
              <w:rPr>
                <w:rStyle w:val="a9"/>
                <w:rFonts w:ascii="Times New Roman" w:eastAsia="黑体" w:hAnsi="Times New Roman" w:cs="Times New Roman"/>
                <w:sz w:val="30"/>
                <w:szCs w:val="30"/>
              </w:rPr>
              <w:t>一、部门概况</w:t>
            </w:r>
            <w:r w:rsidRPr="00696868">
              <w:rPr>
                <w:sz w:val="30"/>
                <w:szCs w:val="30"/>
              </w:rPr>
              <w:tab/>
            </w:r>
            <w:r w:rsidRPr="00696868">
              <w:rPr>
                <w:sz w:val="30"/>
                <w:szCs w:val="30"/>
              </w:rPr>
              <w:fldChar w:fldCharType="begin"/>
            </w:r>
            <w:r w:rsidRPr="00696868">
              <w:rPr>
                <w:sz w:val="30"/>
                <w:szCs w:val="30"/>
              </w:rPr>
              <w:instrText xml:space="preserve"> PAGEREF _Toc166255116 \h </w:instrText>
            </w:r>
            <w:r w:rsidRPr="00696868">
              <w:rPr>
                <w:sz w:val="30"/>
                <w:szCs w:val="30"/>
              </w:rPr>
            </w:r>
            <w:r w:rsidRPr="00696868">
              <w:rPr>
                <w:sz w:val="30"/>
                <w:szCs w:val="30"/>
              </w:rPr>
              <w:fldChar w:fldCharType="separate"/>
            </w:r>
            <w:r w:rsidRPr="00696868">
              <w:rPr>
                <w:sz w:val="30"/>
                <w:szCs w:val="30"/>
              </w:rPr>
              <w:t>1</w:t>
            </w:r>
            <w:r w:rsidRPr="00696868">
              <w:rPr>
                <w:sz w:val="30"/>
                <w:szCs w:val="30"/>
              </w:rPr>
              <w:fldChar w:fldCharType="end"/>
            </w:r>
          </w:hyperlink>
        </w:p>
        <w:p w14:paraId="4351966B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17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（一）机构设置及职责工作任务情况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_Toc166255117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1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2C045087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18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（二）部门整体绩效目标设立情况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_Toc166255118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2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3C9213B9" w14:textId="77777777" w:rsidR="00D36E36" w:rsidRPr="00696868" w:rsidRDefault="001225F9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19" w:history="1">
            <w:r w:rsidR="000C532B" w:rsidRPr="00696868">
              <w:rPr>
                <w:rStyle w:val="a9"/>
                <w:rFonts w:ascii="Times New Roman" w:eastAsia="黑体" w:hAnsi="Times New Roman" w:cs="Times New Roman"/>
                <w:bCs/>
                <w:sz w:val="30"/>
                <w:szCs w:val="30"/>
              </w:rPr>
              <w:t>二、</w:t>
            </w:r>
            <w:r w:rsidR="000C532B" w:rsidRPr="00696868">
              <w:rPr>
                <w:rStyle w:val="a9"/>
                <w:rFonts w:ascii="Times New Roman" w:eastAsia="黑体" w:hAnsi="Times New Roman" w:cs="Times New Roman"/>
                <w:bCs/>
                <w:sz w:val="30"/>
                <w:szCs w:val="30"/>
              </w:rPr>
              <w:t xml:space="preserve"> </w:t>
            </w:r>
            <w:r w:rsidR="000C532B" w:rsidRPr="00696868">
              <w:rPr>
                <w:rStyle w:val="a9"/>
                <w:rFonts w:ascii="Times New Roman" w:eastAsia="黑体" w:hAnsi="Times New Roman" w:cs="Times New Roman"/>
                <w:bCs/>
                <w:sz w:val="30"/>
                <w:szCs w:val="30"/>
              </w:rPr>
              <w:t>当年预算执行情况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_Toc166255119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3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4B0B8164" w14:textId="77777777" w:rsidR="00D36E36" w:rsidRPr="00696868" w:rsidRDefault="001225F9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0" w:history="1">
            <w:r w:rsidR="000C532B" w:rsidRPr="00696868">
              <w:rPr>
                <w:rStyle w:val="a9"/>
                <w:rFonts w:ascii="Times New Roman" w:eastAsia="黑体" w:hAnsi="Times New Roman" w:cs="Times New Roman"/>
                <w:sz w:val="30"/>
                <w:szCs w:val="30"/>
              </w:rPr>
              <w:t>三、整体绩效目标实现情况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_Toc166255120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3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136FA35C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1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（一）产出完成情况分析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_Toc166255121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3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3CDAC595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2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（二）效果实现情况分析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_Toc166255122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5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2FDAB1B5" w14:textId="77777777" w:rsidR="00D36E36" w:rsidRPr="00696868" w:rsidRDefault="001225F9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5" w:history="1">
            <w:r w:rsidR="000C532B" w:rsidRPr="00696868">
              <w:rPr>
                <w:rStyle w:val="a9"/>
                <w:rFonts w:ascii="Times New Roman" w:eastAsia="黑体" w:hAnsi="Times New Roman" w:cs="Times New Roman"/>
                <w:sz w:val="30"/>
                <w:szCs w:val="30"/>
              </w:rPr>
              <w:t>四、预算管理情况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_Toc166255125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7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73E038A7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6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（一）财务管理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_Toc166255126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7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7BEA5EF1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29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（二）资产管理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_Toc166255129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8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6949428D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0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（三）绩效管理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_Toc166255130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8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3A8B16EE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1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（四）结转结余率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_Toc166255131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9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04FB7E08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2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（五）部门预决算差异率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_Toc166255132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9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3F1EBD04" w14:textId="77777777" w:rsidR="00D36E36" w:rsidRPr="00696868" w:rsidRDefault="001225F9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3" w:history="1">
            <w:r w:rsidR="000C532B" w:rsidRPr="00696868">
              <w:rPr>
                <w:rStyle w:val="a9"/>
                <w:rFonts w:ascii="Times New Roman" w:eastAsia="黑体" w:hAnsi="Times New Roman" w:cs="Times New Roman"/>
                <w:sz w:val="30"/>
                <w:szCs w:val="30"/>
              </w:rPr>
              <w:t>五、总体评价结论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_Toc166255133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9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19462091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4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（一）评价得分情况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_Toc166255134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9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325C138C" w14:textId="77777777" w:rsidR="00D36E36" w:rsidRPr="00696868" w:rsidRDefault="001225F9">
          <w:pPr>
            <w:pStyle w:val="2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5" w:history="1">
            <w:r w:rsidR="000C532B" w:rsidRPr="00696868">
              <w:rPr>
                <w:rStyle w:val="a9"/>
                <w:rFonts w:ascii="Times New Roman" w:eastAsia="楷体" w:hAnsi="Times New Roman" w:cs="Times New Roman"/>
                <w:sz w:val="30"/>
                <w:szCs w:val="30"/>
              </w:rPr>
              <w:t>（二）存在的问题及原因分析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_Toc166255135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10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1166B688" w14:textId="77777777" w:rsidR="00D36E36" w:rsidRPr="00696868" w:rsidRDefault="001225F9">
          <w:pPr>
            <w:pStyle w:val="10"/>
            <w:tabs>
              <w:tab w:val="right" w:leader="dot" w:pos="8296"/>
            </w:tabs>
            <w:rPr>
              <w:sz w:val="30"/>
              <w:szCs w:val="30"/>
              <w14:ligatures w14:val="standardContextual"/>
            </w:rPr>
          </w:pPr>
          <w:hyperlink w:anchor="_Toc166255136" w:history="1">
            <w:r w:rsidR="000C532B" w:rsidRPr="00696868">
              <w:rPr>
                <w:rStyle w:val="a9"/>
                <w:rFonts w:ascii="Times New Roman" w:eastAsia="黑体" w:hAnsi="Times New Roman" w:cs="Times New Roman"/>
                <w:sz w:val="30"/>
                <w:szCs w:val="30"/>
              </w:rPr>
              <w:t>六、措施建议</w:t>
            </w:r>
            <w:r w:rsidR="000C532B" w:rsidRPr="00696868">
              <w:rPr>
                <w:sz w:val="30"/>
                <w:szCs w:val="30"/>
              </w:rPr>
              <w:tab/>
            </w:r>
            <w:r w:rsidR="000C532B" w:rsidRPr="00696868">
              <w:rPr>
                <w:sz w:val="30"/>
                <w:szCs w:val="30"/>
              </w:rPr>
              <w:fldChar w:fldCharType="begin"/>
            </w:r>
            <w:r w:rsidR="000C532B" w:rsidRPr="00696868">
              <w:rPr>
                <w:sz w:val="30"/>
                <w:szCs w:val="30"/>
              </w:rPr>
              <w:instrText xml:space="preserve"> PAGEREF _Toc166255136 \h </w:instrText>
            </w:r>
            <w:r w:rsidR="000C532B" w:rsidRPr="00696868">
              <w:rPr>
                <w:sz w:val="30"/>
                <w:szCs w:val="30"/>
              </w:rPr>
            </w:r>
            <w:r w:rsidR="000C532B" w:rsidRPr="00696868">
              <w:rPr>
                <w:sz w:val="30"/>
                <w:szCs w:val="30"/>
              </w:rPr>
              <w:fldChar w:fldCharType="separate"/>
            </w:r>
            <w:r w:rsidR="000C532B" w:rsidRPr="00696868">
              <w:rPr>
                <w:sz w:val="30"/>
                <w:szCs w:val="30"/>
              </w:rPr>
              <w:t>10</w:t>
            </w:r>
            <w:r w:rsidR="000C532B" w:rsidRPr="00696868">
              <w:rPr>
                <w:sz w:val="30"/>
                <w:szCs w:val="30"/>
              </w:rPr>
              <w:fldChar w:fldCharType="end"/>
            </w:r>
          </w:hyperlink>
        </w:p>
        <w:p w14:paraId="2C753CA0" w14:textId="77777777" w:rsidR="00D36E36" w:rsidRPr="00696868" w:rsidRDefault="000C532B">
          <w:pPr>
            <w:adjustRightInd w:val="0"/>
            <w:snapToGrid w:val="0"/>
            <w:spacing w:line="360" w:lineRule="auto"/>
            <w:jc w:val="center"/>
            <w:rPr>
              <w:rFonts w:ascii="Times New Roman" w:hAnsi="Times New Roman" w:cs="Times New Roman"/>
              <w:b/>
              <w:bCs/>
              <w:lang w:val="zh-CN"/>
            </w:rPr>
          </w:pPr>
          <w:r w:rsidRPr="00696868">
            <w:rPr>
              <w:rFonts w:ascii="Times New Roman" w:hAnsi="Times New Roman" w:cs="Times New Roman"/>
              <w:bCs/>
              <w:sz w:val="32"/>
              <w:szCs w:val="32"/>
              <w:lang w:val="zh-CN"/>
            </w:rPr>
            <w:fldChar w:fldCharType="end"/>
          </w:r>
        </w:p>
      </w:sdtContent>
    </w:sdt>
    <w:p w14:paraId="28A388F6" w14:textId="77777777" w:rsidR="00D36E36" w:rsidRPr="00696868" w:rsidRDefault="00D36E36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 w:cs="Times New Roman"/>
          <w:bCs/>
          <w:sz w:val="36"/>
          <w:szCs w:val="44"/>
        </w:rPr>
        <w:sectPr w:rsidR="00D36E36" w:rsidRPr="0069686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4CA201B" w14:textId="77777777" w:rsidR="00D36E36" w:rsidRPr="00696868" w:rsidRDefault="000C532B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 w:cs="Times New Roman"/>
          <w:bCs/>
          <w:sz w:val="36"/>
          <w:szCs w:val="44"/>
        </w:rPr>
      </w:pPr>
      <w:r w:rsidRPr="00696868">
        <w:rPr>
          <w:rFonts w:ascii="Times New Roman" w:eastAsia="华文中宋" w:hAnsi="Times New Roman" w:cs="Times New Roman"/>
          <w:bCs/>
          <w:sz w:val="36"/>
          <w:szCs w:val="44"/>
        </w:rPr>
        <w:lastRenderedPageBreak/>
        <w:t>202</w:t>
      </w:r>
      <w:r w:rsidRPr="00696868">
        <w:rPr>
          <w:rFonts w:ascii="Times New Roman" w:eastAsia="华文中宋" w:hAnsi="Times New Roman" w:cs="Times New Roman" w:hint="eastAsia"/>
          <w:bCs/>
          <w:sz w:val="36"/>
          <w:szCs w:val="44"/>
        </w:rPr>
        <w:t>4</w:t>
      </w:r>
      <w:r w:rsidRPr="00696868">
        <w:rPr>
          <w:rFonts w:ascii="Times New Roman" w:eastAsia="华文中宋" w:hAnsi="Times New Roman" w:cs="Times New Roman"/>
          <w:bCs/>
          <w:sz w:val="36"/>
          <w:szCs w:val="44"/>
        </w:rPr>
        <w:t>年</w:t>
      </w:r>
      <w:r w:rsidRPr="00696868">
        <w:rPr>
          <w:rFonts w:ascii="Times New Roman" w:eastAsia="华文中宋" w:hAnsi="Times New Roman" w:cs="Times New Roman" w:hint="eastAsia"/>
          <w:bCs/>
          <w:sz w:val="36"/>
          <w:szCs w:val="44"/>
        </w:rPr>
        <w:t>北京市公安局公安交通管理局</w:t>
      </w:r>
    </w:p>
    <w:p w14:paraId="793E845F" w14:textId="77777777" w:rsidR="00D36E36" w:rsidRPr="00696868" w:rsidRDefault="000C532B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 w:cs="Times New Roman"/>
          <w:bCs/>
          <w:sz w:val="36"/>
          <w:szCs w:val="44"/>
        </w:rPr>
      </w:pPr>
      <w:r w:rsidRPr="00696868">
        <w:rPr>
          <w:rFonts w:ascii="Times New Roman" w:eastAsia="华文中宋" w:hAnsi="Times New Roman" w:cs="Times New Roman"/>
          <w:bCs/>
          <w:sz w:val="36"/>
          <w:szCs w:val="44"/>
        </w:rPr>
        <w:t>部门整体绩效</w:t>
      </w:r>
      <w:r w:rsidRPr="00696868">
        <w:rPr>
          <w:rFonts w:ascii="Times New Roman" w:eastAsia="华文中宋" w:hAnsi="Times New Roman" w:cs="Times New Roman" w:hint="eastAsia"/>
          <w:bCs/>
          <w:sz w:val="36"/>
          <w:szCs w:val="44"/>
        </w:rPr>
        <w:t>评价</w:t>
      </w:r>
      <w:r w:rsidRPr="00696868">
        <w:rPr>
          <w:rFonts w:ascii="Times New Roman" w:eastAsia="华文中宋" w:hAnsi="Times New Roman" w:cs="Times New Roman"/>
          <w:bCs/>
          <w:sz w:val="36"/>
          <w:szCs w:val="44"/>
        </w:rPr>
        <w:t>报告</w:t>
      </w:r>
    </w:p>
    <w:p w14:paraId="6E69252C" w14:textId="77777777" w:rsidR="00D36E36" w:rsidRPr="00696868" w:rsidRDefault="00D36E36">
      <w:pPr>
        <w:adjustRightInd w:val="0"/>
        <w:snapToGrid w:val="0"/>
        <w:spacing w:line="360" w:lineRule="auto"/>
        <w:jc w:val="center"/>
        <w:rPr>
          <w:rFonts w:ascii="Times New Roman" w:eastAsia="华文中宋" w:hAnsi="Times New Roman" w:cs="Times New Roman"/>
          <w:bCs/>
          <w:sz w:val="36"/>
          <w:szCs w:val="44"/>
        </w:rPr>
      </w:pPr>
    </w:p>
    <w:p w14:paraId="52C40225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bookmarkStart w:id="0" w:name="_Toc102158214"/>
      <w:bookmarkStart w:id="1" w:name="_Toc166255116"/>
      <w:r w:rsidRPr="00696868">
        <w:rPr>
          <w:rFonts w:ascii="Times New Roman" w:eastAsia="黑体" w:hAnsi="Times New Roman" w:cs="Times New Roman"/>
          <w:sz w:val="32"/>
          <w:szCs w:val="32"/>
        </w:rPr>
        <w:t>一、部门概况</w:t>
      </w:r>
      <w:bookmarkEnd w:id="0"/>
      <w:bookmarkEnd w:id="1"/>
    </w:p>
    <w:p w14:paraId="44931457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2" w:name="_Toc166255117"/>
      <w:bookmarkStart w:id="3" w:name="_Toc102158215"/>
      <w:r w:rsidRPr="00696868">
        <w:rPr>
          <w:rFonts w:ascii="Times New Roman" w:eastAsia="楷体" w:hAnsi="Times New Roman" w:cs="Times New Roman"/>
          <w:sz w:val="32"/>
          <w:szCs w:val="32"/>
        </w:rPr>
        <w:t>（一）机构设置及职责工作任务情况</w:t>
      </w:r>
      <w:bookmarkEnd w:id="2"/>
      <w:bookmarkEnd w:id="3"/>
    </w:p>
    <w:p w14:paraId="598031B5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北京市公安局公安交通管理局（简称“市公安局交管局”）是全市道路交通安全的主管机关，下设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16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个职能部门，直管东城、西城、朝阳、海淀、丰台、石景山、房山、通州、昌平等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9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个交通支队和开发区交通大队，并负责指导门头沟、大兴、顺义、怀柔、平谷、机场、密云、延庆等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8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个非直管交通支、大队和清河分局交通大队的业务工作。承担的主要职责如下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：</w:t>
      </w:r>
    </w:p>
    <w:p w14:paraId="25FFE05F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1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）负责维护疏导路面交通秩序；依法纠正处罚各类交通违法行为；办理各类机动车通行证件；</w:t>
      </w:r>
    </w:p>
    <w:p w14:paraId="644F5A67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2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）负责重大国事外事活动、重要首脑外宾的交通安全保卫；</w:t>
      </w:r>
    </w:p>
    <w:p w14:paraId="534BFC9B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3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）负责全市地方（含外事机构、外籍人员）机动车和驾驶员管理；</w:t>
      </w:r>
    </w:p>
    <w:p w14:paraId="2526A253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）负责开展交通安全宣传教育；监督、检查社会各单位履行交通安全责任情况；</w:t>
      </w:r>
    </w:p>
    <w:p w14:paraId="562DFFBA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5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）负责道路交通事故处理；查缉交通肇事逃逸案件；</w:t>
      </w:r>
    </w:p>
    <w:p w14:paraId="3DB8578A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lastRenderedPageBreak/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6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）负责起草道路、交通管理方面的地方性法规、规章；监督、检查交通民警执法行为；行政复议应诉、行政诉讼工作；</w:t>
      </w:r>
    </w:p>
    <w:p w14:paraId="64032238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7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）负责开发应用智能交通科学技术，规划设置和维护管理城市道路交通标志设施；</w:t>
      </w:r>
    </w:p>
    <w:p w14:paraId="6744BD6C" w14:textId="77777777" w:rsidR="00D36E36" w:rsidRPr="00696868" w:rsidRDefault="000C532B">
      <w:pPr>
        <w:pStyle w:val="a6"/>
        <w:shd w:val="clear" w:color="auto" w:fill="FFFFFF"/>
        <w:adjustRightInd w:val="0"/>
        <w:snapToGrid w:val="0"/>
        <w:spacing w:before="0" w:beforeAutospacing="0" w:after="0" w:afterAutospacing="0" w:line="360" w:lineRule="auto"/>
        <w:ind w:firstLineChars="200" w:firstLine="640"/>
        <w:jc w:val="both"/>
        <w:rPr>
          <w:rFonts w:ascii="Times New Roman" w:eastAsia="仿宋_GB2312" w:hAnsi="Times New Roman" w:cs="Times New Roman"/>
          <w:bCs/>
          <w:kern w:val="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（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8</w:t>
      </w:r>
      <w:r w:rsidRPr="00696868">
        <w:rPr>
          <w:rFonts w:ascii="Times New Roman" w:eastAsia="仿宋_GB2312" w:hAnsi="Times New Roman" w:cs="Times New Roman" w:hint="eastAsia"/>
          <w:bCs/>
          <w:kern w:val="2"/>
          <w:sz w:val="32"/>
          <w:szCs w:val="32"/>
        </w:rPr>
        <w:t>）负责承办市委、市政府、公安部和市公安局交办的其他工作事项。</w:t>
      </w:r>
    </w:p>
    <w:p w14:paraId="1BCF5070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4" w:name="_Toc166255118"/>
      <w:bookmarkStart w:id="5" w:name="_Toc102158218"/>
      <w:r w:rsidRPr="00696868">
        <w:rPr>
          <w:rFonts w:ascii="Times New Roman" w:eastAsia="楷体" w:hAnsi="Times New Roman" w:cs="Times New Roman"/>
          <w:sz w:val="32"/>
          <w:szCs w:val="32"/>
        </w:rPr>
        <w:t>（二）部门整体绩效目标设立情况</w:t>
      </w:r>
      <w:bookmarkEnd w:id="4"/>
      <w:bookmarkEnd w:id="5"/>
    </w:p>
    <w:p w14:paraId="7B4DA14A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2024</w:t>
      </w:r>
      <w:r w:rsidRPr="00696868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年</w:t>
      </w:r>
      <w:r w:rsidRPr="00696868">
        <w:rPr>
          <w:rFonts w:ascii="Times New Roman" w:eastAsia="仿宋_GB2312" w:hAnsi="Times New Roman" w:cs="Times New Roman"/>
          <w:color w:val="000000"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部</w:t>
      </w:r>
      <w:proofErr w:type="gramStart"/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门整体</w:t>
      </w:r>
      <w:proofErr w:type="gramEnd"/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绩效目标设置为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：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坚持以习近平新时代中国特色社会主义思想为指导，深入贯彻总书记对北京重要讲话精神，牢固树立“以人民为中心”的发展思想、“城市管理应该像绣花一样精细”的理念和“共建共治共享”的思维，牢牢把握首都“四个中心”战略定位，紧密结合北京道路交通形势特点，按照《北京城市总体规划（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2016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年—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2035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年）》部署要求和市政府“优供、控需、强治”的工作思路，全面推动基层基础、科技应用、执法管理、综合治理、为民服务、队伍建设进一步提升，确保交通运行安全平稳，路面秩序持续向好，全力为各项安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保创造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良好交通环境。具体指标设置如下：</w:t>
      </w:r>
    </w:p>
    <w:p w14:paraId="5578C0EA" w14:textId="77777777" w:rsidR="00D36E36" w:rsidRPr="00696868" w:rsidRDefault="000C532B">
      <w:pPr>
        <w:adjustRightInd w:val="0"/>
        <w:snapToGrid w:val="0"/>
        <w:spacing w:line="360" w:lineRule="auto"/>
        <w:jc w:val="center"/>
      </w:pPr>
      <w:r w:rsidRPr="00696868">
        <w:rPr>
          <w:rFonts w:ascii="Times New Roman" w:eastAsia="黑体" w:hAnsi="Times New Roman" w:cs="Times New Roman"/>
          <w:color w:val="000000"/>
          <w:sz w:val="28"/>
          <w:szCs w:val="28"/>
        </w:rPr>
        <w:t>表</w:t>
      </w:r>
      <w:r w:rsidRPr="00696868">
        <w:rPr>
          <w:rFonts w:ascii="Times New Roman" w:eastAsia="黑体" w:hAnsi="Times New Roman" w:cs="Times New Roman" w:hint="eastAsia"/>
          <w:color w:val="000000"/>
          <w:sz w:val="28"/>
          <w:szCs w:val="28"/>
        </w:rPr>
        <w:t>1</w:t>
      </w:r>
      <w:r w:rsidRPr="00696868">
        <w:rPr>
          <w:rFonts w:ascii="Times New Roman" w:eastAsia="黑体" w:hAnsi="Times New Roman" w:cs="Times New Roman"/>
          <w:color w:val="000000"/>
          <w:sz w:val="28"/>
          <w:szCs w:val="28"/>
        </w:rPr>
        <w:t>：</w:t>
      </w:r>
      <w:r w:rsidRPr="00696868">
        <w:rPr>
          <w:rFonts w:ascii="Times New Roman" w:eastAsia="黑体" w:hAnsi="Times New Roman" w:cs="Times New Roman" w:hint="eastAsia"/>
          <w:color w:val="000000"/>
          <w:sz w:val="28"/>
          <w:szCs w:val="28"/>
        </w:rPr>
        <w:t>部门整体绩效目标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07"/>
        <w:gridCol w:w="2466"/>
        <w:gridCol w:w="2067"/>
        <w:gridCol w:w="2094"/>
      </w:tblGrid>
      <w:tr w:rsidR="00D36E36" w:rsidRPr="00696868" w14:paraId="75F86224" w14:textId="77777777">
        <w:trPr>
          <w:trHeight w:val="397"/>
          <w:tblHeader/>
        </w:trPr>
        <w:tc>
          <w:tcPr>
            <w:tcW w:w="2207" w:type="dxa"/>
            <w:vAlign w:val="center"/>
          </w:tcPr>
          <w:p w14:paraId="148DAD8C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b/>
                <w:bCs/>
                <w:color w:val="000000"/>
                <w:sz w:val="20"/>
                <w:szCs w:val="20"/>
              </w:rPr>
              <w:t>活动</w:t>
            </w:r>
          </w:p>
        </w:tc>
        <w:tc>
          <w:tcPr>
            <w:tcW w:w="2466" w:type="dxa"/>
            <w:vAlign w:val="center"/>
          </w:tcPr>
          <w:p w14:paraId="1A4793DA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b/>
                <w:bCs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2067" w:type="dxa"/>
            <w:vAlign w:val="center"/>
          </w:tcPr>
          <w:p w14:paraId="46FFCA51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b/>
                <w:bCs/>
                <w:color w:val="000000"/>
                <w:sz w:val="20"/>
                <w:szCs w:val="20"/>
              </w:rPr>
              <w:t>指标性质</w:t>
            </w:r>
          </w:p>
        </w:tc>
        <w:tc>
          <w:tcPr>
            <w:tcW w:w="2094" w:type="dxa"/>
            <w:vAlign w:val="center"/>
          </w:tcPr>
          <w:p w14:paraId="5E016123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b/>
                <w:bCs/>
                <w:color w:val="000000"/>
                <w:sz w:val="20"/>
                <w:szCs w:val="20"/>
              </w:rPr>
              <w:t>指标值</w:t>
            </w:r>
          </w:p>
        </w:tc>
      </w:tr>
      <w:tr w:rsidR="00D36E36" w:rsidRPr="00696868" w14:paraId="314FFA3B" w14:textId="77777777">
        <w:trPr>
          <w:trHeight w:val="397"/>
        </w:trPr>
        <w:tc>
          <w:tcPr>
            <w:tcW w:w="2207" w:type="dxa"/>
            <w:vAlign w:val="center"/>
          </w:tcPr>
          <w:p w14:paraId="54D9E488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信息化系统建设与维护</w:t>
            </w:r>
          </w:p>
        </w:tc>
        <w:tc>
          <w:tcPr>
            <w:tcW w:w="2466" w:type="dxa"/>
            <w:vAlign w:val="center"/>
          </w:tcPr>
          <w:p w14:paraId="46210D26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效益指标可持续影响指标科技应用效能提升。</w:t>
            </w:r>
          </w:p>
        </w:tc>
        <w:tc>
          <w:tcPr>
            <w:tcW w:w="2067" w:type="dxa"/>
            <w:vAlign w:val="center"/>
          </w:tcPr>
          <w:p w14:paraId="7D02392D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59587366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  <w:tr w:rsidR="00D36E36" w:rsidRPr="00696868" w14:paraId="79DC635A" w14:textId="77777777">
        <w:trPr>
          <w:trHeight w:val="397"/>
        </w:trPr>
        <w:tc>
          <w:tcPr>
            <w:tcW w:w="2207" w:type="dxa"/>
            <w:vAlign w:val="center"/>
          </w:tcPr>
          <w:p w14:paraId="643F6BAB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交通秩序和交通规划管理</w:t>
            </w:r>
          </w:p>
        </w:tc>
        <w:tc>
          <w:tcPr>
            <w:tcW w:w="2466" w:type="dxa"/>
            <w:vAlign w:val="center"/>
          </w:tcPr>
          <w:p w14:paraId="70126ED6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效益指标可持续影响指标有效改善道路通行秩序，优化提升道路通行效率。</w:t>
            </w:r>
          </w:p>
        </w:tc>
        <w:tc>
          <w:tcPr>
            <w:tcW w:w="2067" w:type="dxa"/>
            <w:vAlign w:val="center"/>
          </w:tcPr>
          <w:p w14:paraId="0E330147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55C4CC3F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  <w:tr w:rsidR="00D36E36" w:rsidRPr="00696868" w14:paraId="5F96349C" w14:textId="77777777">
        <w:trPr>
          <w:trHeight w:val="397"/>
        </w:trPr>
        <w:tc>
          <w:tcPr>
            <w:tcW w:w="2207" w:type="dxa"/>
            <w:vAlign w:val="center"/>
          </w:tcPr>
          <w:p w14:paraId="16DC6511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lastRenderedPageBreak/>
              <w:t>事故预防和交通安全宣传</w:t>
            </w:r>
          </w:p>
        </w:tc>
        <w:tc>
          <w:tcPr>
            <w:tcW w:w="2466" w:type="dxa"/>
            <w:vAlign w:val="center"/>
          </w:tcPr>
          <w:p w14:paraId="201DE9E9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效益指标社会效益指标加强交通安全宣传，深化隐患排查治理，严格企业源头监管，严防重大交通事故。</w:t>
            </w:r>
          </w:p>
        </w:tc>
        <w:tc>
          <w:tcPr>
            <w:tcW w:w="2067" w:type="dxa"/>
            <w:vAlign w:val="center"/>
          </w:tcPr>
          <w:p w14:paraId="36A353FB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32D990D6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  <w:tr w:rsidR="00D36E36" w:rsidRPr="00696868" w14:paraId="36523BCC" w14:textId="77777777">
        <w:trPr>
          <w:trHeight w:val="397"/>
        </w:trPr>
        <w:tc>
          <w:tcPr>
            <w:tcW w:w="2207" w:type="dxa"/>
            <w:vAlign w:val="center"/>
          </w:tcPr>
          <w:p w14:paraId="206D40D5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交通秩序和交通规划管理</w:t>
            </w:r>
          </w:p>
        </w:tc>
        <w:tc>
          <w:tcPr>
            <w:tcW w:w="2466" w:type="dxa"/>
            <w:vAlign w:val="center"/>
          </w:tcPr>
          <w:p w14:paraId="1A5CDE08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效益指标社会效益指标交通运行态势持续向好。</w:t>
            </w:r>
          </w:p>
        </w:tc>
        <w:tc>
          <w:tcPr>
            <w:tcW w:w="2067" w:type="dxa"/>
            <w:vAlign w:val="center"/>
          </w:tcPr>
          <w:p w14:paraId="77BEAAA6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68A5A906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  <w:tr w:rsidR="00D36E36" w:rsidRPr="00696868" w14:paraId="626D5A31" w14:textId="77777777">
        <w:trPr>
          <w:trHeight w:val="397"/>
        </w:trPr>
        <w:tc>
          <w:tcPr>
            <w:tcW w:w="2207" w:type="dxa"/>
            <w:vAlign w:val="center"/>
          </w:tcPr>
          <w:p w14:paraId="0BCCDB2D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日常管理</w:t>
            </w:r>
          </w:p>
        </w:tc>
        <w:tc>
          <w:tcPr>
            <w:tcW w:w="2466" w:type="dxa"/>
            <w:vAlign w:val="center"/>
          </w:tcPr>
          <w:p w14:paraId="4D010D90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产出指标时效指标持续保持高压态势，交管执法效能明显提升。</w:t>
            </w:r>
          </w:p>
        </w:tc>
        <w:tc>
          <w:tcPr>
            <w:tcW w:w="2067" w:type="dxa"/>
            <w:vAlign w:val="center"/>
          </w:tcPr>
          <w:p w14:paraId="3C721A57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00694AF5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  <w:tr w:rsidR="00D36E36" w:rsidRPr="00696868" w14:paraId="31A611B0" w14:textId="77777777">
        <w:trPr>
          <w:trHeight w:val="397"/>
        </w:trPr>
        <w:tc>
          <w:tcPr>
            <w:tcW w:w="2207" w:type="dxa"/>
            <w:vAlign w:val="center"/>
          </w:tcPr>
          <w:p w14:paraId="1829E4B1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综合事务</w:t>
            </w:r>
          </w:p>
        </w:tc>
        <w:tc>
          <w:tcPr>
            <w:tcW w:w="2466" w:type="dxa"/>
            <w:vAlign w:val="center"/>
          </w:tcPr>
          <w:p w14:paraId="1A3728D4" w14:textId="77777777" w:rsidR="00D36E36" w:rsidRPr="00696868" w:rsidRDefault="000C532B">
            <w:r w:rsidRPr="00696868">
              <w:rPr>
                <w:rFonts w:hint="eastAsia"/>
                <w:sz w:val="18"/>
                <w:szCs w:val="18"/>
              </w:rPr>
              <w:t>满意度指标服务对象满意度指标市民群众获得感和满意度不断提高。</w:t>
            </w:r>
          </w:p>
        </w:tc>
        <w:tc>
          <w:tcPr>
            <w:tcW w:w="2067" w:type="dxa"/>
            <w:vAlign w:val="center"/>
          </w:tcPr>
          <w:p w14:paraId="51260E47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定性</w:t>
            </w:r>
          </w:p>
        </w:tc>
        <w:tc>
          <w:tcPr>
            <w:tcW w:w="2094" w:type="dxa"/>
            <w:vAlign w:val="center"/>
          </w:tcPr>
          <w:p w14:paraId="3BFE9BA6" w14:textId="77777777" w:rsidR="00D36E36" w:rsidRPr="00696868" w:rsidRDefault="000C532B">
            <w:pPr>
              <w:jc w:val="center"/>
            </w:pPr>
            <w:r w:rsidRPr="00696868">
              <w:rPr>
                <w:rFonts w:hint="eastAsia"/>
                <w:sz w:val="18"/>
                <w:szCs w:val="18"/>
              </w:rPr>
              <w:t>优</w:t>
            </w:r>
          </w:p>
        </w:tc>
      </w:tr>
    </w:tbl>
    <w:p w14:paraId="4B01535F" w14:textId="77777777" w:rsidR="00D36E36" w:rsidRPr="00696868" w:rsidRDefault="00D36E36"/>
    <w:p w14:paraId="0CE83377" w14:textId="77777777" w:rsidR="00D36E36" w:rsidRPr="00696868" w:rsidRDefault="000C532B">
      <w:pPr>
        <w:pStyle w:val="3"/>
        <w:adjustRightInd w:val="0"/>
        <w:snapToGrid w:val="0"/>
        <w:spacing w:line="360" w:lineRule="auto"/>
        <w:ind w:leftChars="0" w:left="0"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color w:val="000000"/>
          <w:sz w:val="32"/>
          <w:szCs w:val="32"/>
        </w:rPr>
        <w:t>部</w:t>
      </w:r>
      <w:proofErr w:type="gramStart"/>
      <w:r w:rsidRPr="00696868">
        <w:rPr>
          <w:rFonts w:ascii="Times New Roman" w:eastAsia="仿宋_GB2312" w:hAnsi="Times New Roman" w:cs="Times New Roman"/>
          <w:color w:val="000000"/>
          <w:sz w:val="32"/>
          <w:szCs w:val="32"/>
        </w:rPr>
        <w:t>门整体</w:t>
      </w:r>
      <w:proofErr w:type="gramEnd"/>
      <w:r w:rsidRPr="00696868">
        <w:rPr>
          <w:rFonts w:ascii="Times New Roman" w:eastAsia="仿宋_GB2312" w:hAnsi="Times New Roman" w:cs="Times New Roman"/>
          <w:color w:val="000000"/>
          <w:sz w:val="32"/>
          <w:szCs w:val="32"/>
        </w:rPr>
        <w:t>绩效目标</w:t>
      </w:r>
      <w:r w:rsidRPr="00696868">
        <w:rPr>
          <w:rFonts w:ascii="Times New Roman" w:eastAsia="仿宋_GB2312" w:hAnsi="Times New Roman" w:cs="Times New Roman" w:hint="eastAsia"/>
          <w:color w:val="000000"/>
          <w:sz w:val="32"/>
          <w:szCs w:val="32"/>
        </w:rPr>
        <w:t>设置围绕立足维护首都安全、聚焦城市交通发展、构建智能化应用体系、坚持共建共治共享等年度重点工作任务设置，绩效目标设置较为细化与部门职责及年度工作任务相符。但部门整体绩效指标设置以定性为主，绩效指标设置不够量化。</w:t>
      </w:r>
    </w:p>
    <w:p w14:paraId="430B0870" w14:textId="77777777" w:rsidR="00D36E36" w:rsidRPr="00696868" w:rsidRDefault="000C532B">
      <w:pPr>
        <w:numPr>
          <w:ilvl w:val="0"/>
          <w:numId w:val="1"/>
        </w:numPr>
        <w:adjustRightInd w:val="0"/>
        <w:snapToGrid w:val="0"/>
        <w:spacing w:line="360" w:lineRule="auto"/>
        <w:ind w:firstLineChars="200" w:firstLine="640"/>
        <w:outlineLvl w:val="0"/>
        <w:rPr>
          <w:rFonts w:ascii="Times New Roman" w:eastAsia="黑体" w:hAnsi="Times New Roman" w:cs="Times New Roman"/>
          <w:bCs/>
          <w:sz w:val="32"/>
          <w:szCs w:val="32"/>
        </w:rPr>
      </w:pPr>
      <w:bookmarkStart w:id="6" w:name="_Toc102158221"/>
      <w:bookmarkStart w:id="7" w:name="_Toc166255119"/>
      <w:r w:rsidRPr="00696868">
        <w:rPr>
          <w:rFonts w:ascii="Times New Roman" w:eastAsia="黑体" w:hAnsi="Times New Roman" w:cs="Times New Roman"/>
          <w:bCs/>
          <w:sz w:val="32"/>
          <w:szCs w:val="32"/>
        </w:rPr>
        <w:t>当年预算执行情况</w:t>
      </w:r>
      <w:bookmarkEnd w:id="6"/>
      <w:bookmarkEnd w:id="7"/>
    </w:p>
    <w:p w14:paraId="1C796398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hAnsi="Times New Roman" w:cs="Times New Roman"/>
        </w:rPr>
      </w:pP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年全年支出预算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528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304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67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万元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，其中，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基本支出预算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374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329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43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万元，项目支出预算</w:t>
      </w:r>
      <w:bookmarkStart w:id="8" w:name="OLE_LINK1"/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153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975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2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4</w:t>
      </w:r>
      <w:bookmarkEnd w:id="8"/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万元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截至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年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12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月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31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日，市公安局交管局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本年支出合计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517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630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95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万元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，</w:t>
      </w:r>
      <w:bookmarkStart w:id="9" w:name="_Hlk103285754"/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部门预算执行率为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9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7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98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%</w:t>
      </w:r>
      <w:bookmarkEnd w:id="9"/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。</w:t>
      </w:r>
    </w:p>
    <w:p w14:paraId="77EE8E77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bookmarkStart w:id="10" w:name="_Toc166255120"/>
      <w:bookmarkStart w:id="11" w:name="_Toc102158222"/>
      <w:r w:rsidRPr="00696868">
        <w:rPr>
          <w:rFonts w:ascii="Times New Roman" w:eastAsia="黑体" w:hAnsi="Times New Roman" w:cs="Times New Roman"/>
          <w:sz w:val="32"/>
          <w:szCs w:val="32"/>
        </w:rPr>
        <w:t>三、整体绩效目标实现情况</w:t>
      </w:r>
      <w:bookmarkEnd w:id="10"/>
      <w:bookmarkEnd w:id="11"/>
    </w:p>
    <w:p w14:paraId="15DC59AD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12" w:name="_Toc166255121"/>
      <w:bookmarkStart w:id="13" w:name="_Toc102158223"/>
      <w:r w:rsidRPr="00696868">
        <w:rPr>
          <w:rFonts w:ascii="Times New Roman" w:eastAsia="楷体" w:hAnsi="Times New Roman" w:cs="Times New Roman"/>
          <w:sz w:val="32"/>
          <w:szCs w:val="32"/>
        </w:rPr>
        <w:t>（一）产出完成情况分析</w:t>
      </w:r>
      <w:bookmarkEnd w:id="12"/>
      <w:bookmarkEnd w:id="13"/>
    </w:p>
    <w:p w14:paraId="416911CC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年度市公安局交管局进一步深化落实年度重点工作实施，各项产出指标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均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按照计划完成</w:t>
      </w: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，各项绩效指标具体完成情况如下表：</w:t>
      </w:r>
    </w:p>
    <w:p w14:paraId="76DC91AD" w14:textId="77777777" w:rsidR="00D36E36" w:rsidRPr="00696868" w:rsidRDefault="000C532B">
      <w:pPr>
        <w:pStyle w:val="3"/>
        <w:adjustRightInd w:val="0"/>
        <w:snapToGrid w:val="0"/>
        <w:spacing w:line="360" w:lineRule="auto"/>
        <w:ind w:leftChars="0" w:left="0"/>
        <w:jc w:val="center"/>
        <w:rPr>
          <w:rFonts w:ascii="Times New Roman" w:eastAsia="黑体" w:hAnsi="Times New Roman" w:cs="Times New Roman"/>
          <w:color w:val="000000"/>
          <w:sz w:val="28"/>
          <w:szCs w:val="28"/>
        </w:rPr>
      </w:pPr>
      <w:r w:rsidRPr="00696868">
        <w:rPr>
          <w:rFonts w:ascii="Times New Roman" w:eastAsia="黑体" w:hAnsi="Times New Roman" w:cs="Times New Roman"/>
          <w:color w:val="000000"/>
          <w:sz w:val="28"/>
          <w:szCs w:val="28"/>
        </w:rPr>
        <w:lastRenderedPageBreak/>
        <w:t>表</w:t>
      </w:r>
      <w:r w:rsidRPr="00696868">
        <w:rPr>
          <w:rFonts w:ascii="Times New Roman" w:eastAsia="黑体" w:hAnsi="Times New Roman" w:cs="Times New Roman" w:hint="eastAsia"/>
          <w:color w:val="000000"/>
          <w:sz w:val="28"/>
          <w:szCs w:val="28"/>
        </w:rPr>
        <w:t>2</w:t>
      </w:r>
      <w:r w:rsidRPr="00696868">
        <w:rPr>
          <w:rFonts w:ascii="Times New Roman" w:eastAsia="黑体" w:hAnsi="Times New Roman" w:cs="Times New Roman"/>
          <w:color w:val="000000"/>
          <w:sz w:val="28"/>
          <w:szCs w:val="28"/>
        </w:rPr>
        <w:t>：</w:t>
      </w:r>
      <w:r w:rsidRPr="00696868">
        <w:rPr>
          <w:rFonts w:ascii="Times New Roman" w:eastAsia="黑体" w:hAnsi="Times New Roman" w:cs="Times New Roman" w:hint="eastAsia"/>
          <w:color w:val="000000"/>
          <w:sz w:val="28"/>
          <w:szCs w:val="28"/>
        </w:rPr>
        <w:t>2024</w:t>
      </w:r>
      <w:r w:rsidRPr="00696868">
        <w:rPr>
          <w:rFonts w:ascii="Times New Roman" w:eastAsia="黑体" w:hAnsi="Times New Roman" w:cs="Times New Roman" w:hint="eastAsia"/>
          <w:color w:val="000000"/>
          <w:sz w:val="28"/>
          <w:szCs w:val="28"/>
        </w:rPr>
        <w:t>年度市公安局交管局年度重点工作产出指标完成情况</w:t>
      </w:r>
    </w:p>
    <w:tbl>
      <w:tblPr>
        <w:tblW w:w="4998" w:type="pct"/>
        <w:jc w:val="center"/>
        <w:tblLook w:val="04A0" w:firstRow="1" w:lastRow="0" w:firstColumn="1" w:lastColumn="0" w:noHBand="0" w:noVBand="1"/>
      </w:tblPr>
      <w:tblGrid>
        <w:gridCol w:w="770"/>
        <w:gridCol w:w="4316"/>
        <w:gridCol w:w="2179"/>
        <w:gridCol w:w="1791"/>
      </w:tblGrid>
      <w:tr w:rsidR="00D36E36" w:rsidRPr="00696868" w14:paraId="249EF840" w14:textId="77777777">
        <w:trPr>
          <w:trHeight w:val="397"/>
          <w:tblHeader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CDA07F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92EB5A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绩效</w:t>
            </w:r>
            <w:r w:rsidRPr="00696868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指标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B8C8D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计划值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2BC12F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完成值</w:t>
            </w:r>
          </w:p>
        </w:tc>
      </w:tr>
      <w:tr w:rsidR="00D36E36" w:rsidRPr="00696868" w14:paraId="4734A7EB" w14:textId="77777777">
        <w:trPr>
          <w:trHeight w:val="397"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A6705E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3173B4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“双十工程”优化点位数量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30AB04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≥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550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个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1D899A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581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个</w:t>
            </w:r>
          </w:p>
        </w:tc>
      </w:tr>
      <w:tr w:rsidR="00D36E36" w:rsidRPr="00696868" w14:paraId="7E58DCF1" w14:textId="77777777">
        <w:trPr>
          <w:trHeight w:val="397"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9FC3B1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233650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挂账治理道路隐患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E7932C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≥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380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处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5DF6A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389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处</w:t>
            </w:r>
          </w:p>
        </w:tc>
      </w:tr>
      <w:tr w:rsidR="00D36E36" w:rsidRPr="00696868" w14:paraId="629E02A5" w14:textId="77777777">
        <w:trPr>
          <w:trHeight w:val="397"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20F7EC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3E1A4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bookmarkStart w:id="14" w:name="_Hlk198657280"/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发放电子驾驶证</w:t>
            </w:r>
            <w:bookmarkEnd w:id="14"/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84204E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bookmarkStart w:id="15" w:name="_Hlk198657297"/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≥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800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万</w:t>
            </w:r>
            <w:bookmarkEnd w:id="15"/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D80E01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873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万</w:t>
            </w:r>
          </w:p>
        </w:tc>
      </w:tr>
      <w:tr w:rsidR="00D36E36" w:rsidRPr="00696868" w14:paraId="3D1A7C91" w14:textId="77777777">
        <w:trPr>
          <w:trHeight w:val="397"/>
          <w:jc w:val="center"/>
        </w:trPr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D85C51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2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5A6A3E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“交管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12123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”平台注册用户量</w:t>
            </w:r>
          </w:p>
        </w:tc>
        <w:tc>
          <w:tcPr>
            <w:tcW w:w="12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AA85B2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≥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1000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万</w:t>
            </w:r>
          </w:p>
        </w:tc>
        <w:tc>
          <w:tcPr>
            <w:tcW w:w="9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D7C7D8" w14:textId="77777777" w:rsidR="00D36E36" w:rsidRPr="00696868" w:rsidRDefault="000C532B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  <w:t>1231</w:t>
            </w:r>
            <w:r w:rsidRPr="00696868">
              <w:rPr>
                <w:rFonts w:ascii="Times New Roman" w:eastAsia="宋体" w:hAnsi="Times New Roman" w:cs="Times New Roman" w:hint="eastAsia"/>
                <w:color w:val="000000"/>
                <w:sz w:val="20"/>
                <w:szCs w:val="20"/>
              </w:rPr>
              <w:t>万</w:t>
            </w:r>
          </w:p>
        </w:tc>
      </w:tr>
    </w:tbl>
    <w:p w14:paraId="14D97D10" w14:textId="77777777" w:rsidR="00D36E36" w:rsidRPr="00696868" w:rsidRDefault="00D36E36"/>
    <w:p w14:paraId="769F88CE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bookmarkStart w:id="16" w:name="_Toc102140644"/>
      <w:bookmarkStart w:id="17" w:name="_Toc102158225"/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道路交通优化方面，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开展交通优化攻坚“双十工程”，围绕长安街、中轴线、副中心和“学、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医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、景、商”分类施策，确保交通顺畅有序，系统优化点位数量达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581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个，其中，学校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457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所、医院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73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家、景区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28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个、商圈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处，“双十工程”点位周边平均车速提升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19.6%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14:paraId="5D667789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安全隐患防范方面，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围绕人、车、路、企等要素，持续开展隐患排查，挂账治理道路隐患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389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处。特别是针对新开通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的京蔚高速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，提前介入规划建设，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推动路方设置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“疲劳唤醒区”，实现亡人事故“零发生”，树立特长隧道安全管理样板。</w:t>
      </w:r>
    </w:p>
    <w:p w14:paraId="33290E1B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优化线</w:t>
      </w:r>
      <w:proofErr w:type="gramEnd"/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上服务方面，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持续推进“网上办”“智能办”，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网办业务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平均受理时限缩短至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小时内；全面推行车驾业务电子签名签章、电子营业执照和电子委托，推出线上开具机动车注销证明等法律文书、机动车抵押登记信息在线查询等便民举措，积极推行电子证照，发放电子驾驶证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873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万、行驶证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285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万。实施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12123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语音服务热线及“交管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12123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APP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满意度提升计划，升级优化平台功能，注册用户达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1231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万。</w:t>
      </w:r>
    </w:p>
    <w:bookmarkEnd w:id="16"/>
    <w:bookmarkEnd w:id="17"/>
    <w:p w14:paraId="5E630647" w14:textId="77777777" w:rsidR="00D36E36" w:rsidRPr="00696868" w:rsidRDefault="000C532B">
      <w:pPr>
        <w:tabs>
          <w:tab w:val="left" w:pos="2880"/>
          <w:tab w:val="left" w:pos="3240"/>
        </w:tabs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color w:val="FF0000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sz w:val="32"/>
          <w:szCs w:val="32"/>
        </w:rPr>
        <w:lastRenderedPageBreak/>
        <w:t>产出进度方面，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根据部门整体工作目标完成情况分析，市公安局交管局能够按照计划要求完成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部门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年度重点工作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任务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。通过年度各项工作有序推进落实，有效保障了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各项重点工作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实施进度及产出时效性。</w:t>
      </w:r>
    </w:p>
    <w:p w14:paraId="17F4BAB2" w14:textId="31A3E2E4" w:rsidR="00D36E36" w:rsidRPr="00696868" w:rsidRDefault="000C532B">
      <w:pPr>
        <w:tabs>
          <w:tab w:val="left" w:pos="2880"/>
          <w:tab w:val="left" w:pos="3240"/>
        </w:tabs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bookmarkStart w:id="18" w:name="_Toc102140646"/>
      <w:bookmarkStart w:id="19" w:name="_Toc72438587"/>
      <w:bookmarkStart w:id="20" w:name="_Toc102158227"/>
      <w:bookmarkStart w:id="21" w:name="_Toc72439008"/>
      <w:r w:rsidRPr="00696868">
        <w:rPr>
          <w:rFonts w:ascii="Times New Roman" w:eastAsia="仿宋_GB2312" w:hAnsi="Times New Roman" w:cs="Times New Roman"/>
          <w:b/>
          <w:bCs/>
          <w:sz w:val="32"/>
          <w:szCs w:val="32"/>
        </w:rPr>
        <w:t>产出成本</w:t>
      </w:r>
      <w:bookmarkEnd w:id="18"/>
      <w:bookmarkEnd w:id="19"/>
      <w:bookmarkEnd w:id="20"/>
      <w:bookmarkEnd w:id="21"/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方面，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部门预算支出严格按照</w:t>
      </w:r>
      <w:r w:rsidR="00112F8F" w:rsidRPr="00696868">
        <w:rPr>
          <w:rFonts w:ascii="Times New Roman" w:eastAsia="仿宋_GB2312" w:hAnsi="Times New Roman" w:cs="Times New Roman" w:hint="eastAsia"/>
          <w:sz w:val="32"/>
          <w:szCs w:val="32"/>
        </w:rPr>
        <w:t>交管局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财务管理暂行办法要求，履行资金支出审批手续</w:t>
      </w:r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；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同时在部门预算执行过程中，采取厉行节约措施，有效控制各项费用支出，实际经费支出严格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履行采购程序并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按合同执行，经费支出符合部门履职范围，部门总体资金支出控制在预算范围内，部门整体成本控制情况较好。</w:t>
      </w:r>
    </w:p>
    <w:p w14:paraId="22AAFD88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22" w:name="_Toc166255122"/>
      <w:bookmarkStart w:id="23" w:name="_Toc102158228"/>
      <w:r w:rsidRPr="00696868">
        <w:rPr>
          <w:rFonts w:ascii="Times New Roman" w:eastAsia="楷体" w:hAnsi="Times New Roman" w:cs="Times New Roman"/>
          <w:sz w:val="32"/>
          <w:szCs w:val="32"/>
        </w:rPr>
        <w:t>（二）效果实现情况分析</w:t>
      </w:r>
      <w:bookmarkEnd w:id="22"/>
      <w:bookmarkEnd w:id="23"/>
    </w:p>
    <w:p w14:paraId="14CD0D18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2"/>
        <w:rPr>
          <w:rFonts w:ascii="Times New Roman" w:eastAsia="仿宋_GB2312" w:hAnsi="Times New Roman" w:cs="Times New Roman"/>
          <w:bCs/>
          <w:sz w:val="32"/>
          <w:szCs w:val="32"/>
        </w:rPr>
      </w:pPr>
      <w:bookmarkStart w:id="24" w:name="_Toc72438589"/>
      <w:bookmarkStart w:id="25" w:name="_Toc103542839"/>
      <w:bookmarkStart w:id="26" w:name="_Toc102140648"/>
      <w:bookmarkStart w:id="27" w:name="_Toc166255123"/>
      <w:bookmarkStart w:id="28" w:name="_Toc72439010"/>
      <w:bookmarkStart w:id="29" w:name="_Toc102158229"/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1.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社会效益</w:t>
      </w:r>
      <w:bookmarkEnd w:id="24"/>
      <w:bookmarkEnd w:id="25"/>
      <w:bookmarkEnd w:id="26"/>
      <w:bookmarkEnd w:id="27"/>
      <w:bookmarkEnd w:id="28"/>
      <w:bookmarkEnd w:id="29"/>
    </w:p>
    <w:p w14:paraId="197C1E86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bookmarkStart w:id="30" w:name="_Toc102158230"/>
      <w:bookmarkStart w:id="31" w:name="_Toc72438590"/>
      <w:bookmarkStart w:id="32" w:name="_Toc102140649"/>
      <w:bookmarkStart w:id="33" w:name="_Toc72439011"/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一是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提升交通品质，深入落实“专业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机制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+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大数据”思路。以“情指行”一体化机制为牵引，搭建实体化合成作战中心，依托大数据平台，整合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35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类、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320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亿条数据资源，打造数据融合、情报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研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判、警务支援高地，建立数据分析、情报流转、案件核查、舆情处置、跟进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盯办闭环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管理链条。此外，精细调优信号配时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1665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处，配时周期平均下降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13%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，有效减少绿灯空放；推广自动驾驶示范区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智慧信控模式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，动态优化绿波带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200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条，提前一个季度完成市政府年度目标，绿波方向不停车通过率达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76.7%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，相关算法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模型获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全国交管大数据建模一等奖。</w:t>
      </w:r>
    </w:p>
    <w:p w14:paraId="49ABB520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二是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净化路面秩序，市公安局交管局瞄准群众最关心、隐患最突出的交通乱象，多维发力、靶向治理。纵深推进路口专项治理，对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136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处路口实施停止线后退、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增设待行区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等优化措施，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处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路口获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评公安部精细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化治理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精品案例，人民日报、新华社、中央广播电视总台等主流媒体专门刊文报道。</w:t>
      </w:r>
    </w:p>
    <w:p w14:paraId="5B505A2D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三是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全力防范交通事故，牢固树立“事故可防可控”理念，用好交通综治、交安联办平台机制，全力推动交通安全治理模式向事前预防转型。</w:t>
      </w:r>
      <w:bookmarkStart w:id="34" w:name="_Hlk198657583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通过夯实交通安全防范责任、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动态排查治理安全隐患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深化开展交通安全宣教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等工作开展，旨在防范交通事故。</w:t>
      </w:r>
      <w:bookmarkEnd w:id="34"/>
    </w:p>
    <w:p w14:paraId="34A04A1D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sz w:val="32"/>
          <w:szCs w:val="32"/>
        </w:rPr>
        <w:t>四是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全力便民利企，深化交管政务服务改革，进一步擦亮“北京服务”品牌。主动助企</w:t>
      </w: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纾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困促发展，简化企业大宗业务办理，开通“交管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12123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APP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单位账号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7.8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万个，线上开辟大宗业务预约渠道，线下开通绿色通道、企业专窗。持续推进“一次办”“就近办”，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17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项高频车驾管业务进驻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111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家派出所；推行检测场周日办公、驾校周末考试，打造全天候车管服务模式；在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54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家检测场推出免检车辆“检字”申领、新增远郊电动自行车“一站式”上牌服务网点等便民举措，不断优化办事流程，提升服务水平。</w:t>
      </w:r>
    </w:p>
    <w:p w14:paraId="7987DE55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2"/>
        <w:rPr>
          <w:rFonts w:ascii="Times New Roman" w:eastAsia="仿宋_GB2312" w:hAnsi="Times New Roman" w:cs="Times New Roman"/>
          <w:bCs/>
          <w:sz w:val="32"/>
          <w:szCs w:val="32"/>
        </w:rPr>
      </w:pPr>
      <w:bookmarkStart w:id="35" w:name="_Toc166255124"/>
      <w:bookmarkStart w:id="36" w:name="_Toc103542840"/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lastRenderedPageBreak/>
        <w:t>2.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服务对象满意度</w:t>
      </w:r>
      <w:bookmarkEnd w:id="30"/>
      <w:bookmarkEnd w:id="31"/>
      <w:bookmarkEnd w:id="32"/>
      <w:bookmarkEnd w:id="33"/>
      <w:bookmarkEnd w:id="35"/>
      <w:bookmarkEnd w:id="36"/>
    </w:p>
    <w:p w14:paraId="6C695884" w14:textId="77777777" w:rsidR="00D36E36" w:rsidRPr="00696868" w:rsidRDefault="000C532B">
      <w:pPr>
        <w:pStyle w:val="3"/>
        <w:adjustRightInd w:val="0"/>
        <w:snapToGrid w:val="0"/>
        <w:spacing w:line="360" w:lineRule="auto"/>
        <w:ind w:leftChars="0" w:left="0" w:firstLineChars="200" w:firstLine="640"/>
        <w:rPr>
          <w:rFonts w:ascii="Times New Roman" w:hAnsi="Times New Roman" w:cs="Times New Roman"/>
        </w:rPr>
      </w:pPr>
      <w:r w:rsidRPr="00696868">
        <w:rPr>
          <w:rFonts w:ascii="Times New Roman" w:eastAsia="仿宋_GB2312" w:hAnsi="Times New Roman" w:cs="Times New Roman" w:hint="eastAsia"/>
          <w:bCs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积极回应诉求解民忧。邀请市人大代表、政协委员、社会群众等座谈交流，当面征求意见建议，不断提升群众获得感、满意度。强化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12345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热线派单办理，对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18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项高频事项、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52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个高频点位挂账督办、攻坚治理，派单解决率、满意率分别达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98.7%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98.9%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。</w:t>
      </w:r>
    </w:p>
    <w:p w14:paraId="2075A0B0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bookmarkStart w:id="37" w:name="_Toc166255125"/>
      <w:bookmarkStart w:id="38" w:name="_Toc102158231"/>
      <w:r w:rsidRPr="00696868">
        <w:rPr>
          <w:rFonts w:ascii="Times New Roman" w:eastAsia="黑体" w:hAnsi="Times New Roman" w:cs="Times New Roman"/>
          <w:sz w:val="32"/>
          <w:szCs w:val="32"/>
        </w:rPr>
        <w:t>四、预算管理情况</w:t>
      </w:r>
      <w:bookmarkEnd w:id="37"/>
      <w:bookmarkEnd w:id="38"/>
    </w:p>
    <w:p w14:paraId="5BA24698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39" w:name="_Toc102158232"/>
      <w:bookmarkStart w:id="40" w:name="_Toc166255126"/>
      <w:r w:rsidRPr="00696868">
        <w:rPr>
          <w:rFonts w:ascii="Times New Roman" w:eastAsia="楷体" w:hAnsi="Times New Roman" w:cs="Times New Roman"/>
          <w:sz w:val="32"/>
          <w:szCs w:val="32"/>
        </w:rPr>
        <w:t>（一）财务管理</w:t>
      </w:r>
      <w:bookmarkEnd w:id="39"/>
      <w:bookmarkEnd w:id="40"/>
    </w:p>
    <w:p w14:paraId="7B7B1A12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2"/>
        <w:rPr>
          <w:rFonts w:ascii="Times New Roman" w:eastAsia="仿宋_GB2312" w:hAnsi="Times New Roman" w:cs="Times New Roman"/>
          <w:sz w:val="32"/>
          <w:szCs w:val="32"/>
        </w:rPr>
      </w:pPr>
      <w:bookmarkStart w:id="41" w:name="_Toc166255127"/>
      <w:bookmarkStart w:id="42" w:name="_Toc72439014"/>
      <w:bookmarkStart w:id="43" w:name="_Toc102140652"/>
      <w:bookmarkStart w:id="44" w:name="_Toc72438593"/>
      <w:bookmarkStart w:id="45" w:name="_Toc102158233"/>
      <w:bookmarkStart w:id="46" w:name="_Toc103542843"/>
      <w:r w:rsidRPr="00696868">
        <w:rPr>
          <w:rFonts w:ascii="Times New Roman" w:eastAsia="仿宋_GB2312" w:hAnsi="Times New Roman" w:cs="Times New Roman"/>
          <w:sz w:val="32"/>
          <w:szCs w:val="32"/>
        </w:rPr>
        <w:t>1.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财务管理制度健全性</w:t>
      </w:r>
      <w:bookmarkEnd w:id="41"/>
      <w:bookmarkEnd w:id="42"/>
      <w:bookmarkEnd w:id="43"/>
      <w:bookmarkEnd w:id="44"/>
      <w:bookmarkEnd w:id="45"/>
      <w:bookmarkEnd w:id="46"/>
    </w:p>
    <w:p w14:paraId="3CA4111C" w14:textId="548A1000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制定了</w:t>
      </w:r>
      <w:bookmarkStart w:id="47" w:name="_Hlk103201173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财务管理暂行办法</w:t>
      </w:r>
      <w:bookmarkEnd w:id="47"/>
      <w:r w:rsidR="00112F8F" w:rsidRPr="00696868">
        <w:rPr>
          <w:rFonts w:ascii="Times New Roman" w:eastAsia="仿宋_GB2312" w:hAnsi="Times New Roman" w:cs="Times New Roman" w:hint="eastAsia"/>
          <w:sz w:val="32"/>
          <w:szCs w:val="32"/>
        </w:rPr>
        <w:t>，内容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包括预算管理、收入管理、支出管理、经费执行程序及审批权限、资产管理等，部门财务管理制度较为健全，为部门资金使用管理提供有效制度保障。</w:t>
      </w:r>
    </w:p>
    <w:p w14:paraId="7D3140A6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2"/>
        <w:rPr>
          <w:rFonts w:ascii="Times New Roman" w:eastAsia="仿宋_GB2312" w:hAnsi="Times New Roman" w:cs="Times New Roman"/>
          <w:sz w:val="32"/>
          <w:szCs w:val="32"/>
        </w:rPr>
      </w:pPr>
      <w:bookmarkStart w:id="48" w:name="_Toc102158234"/>
      <w:bookmarkStart w:id="49" w:name="_Toc103542844"/>
      <w:bookmarkStart w:id="50" w:name="_Toc72439015"/>
      <w:bookmarkStart w:id="51" w:name="_Toc166255128"/>
      <w:bookmarkStart w:id="52" w:name="_Toc72438594"/>
      <w:bookmarkStart w:id="53" w:name="_Toc102140653"/>
      <w:r w:rsidRPr="00696868">
        <w:rPr>
          <w:rFonts w:ascii="Times New Roman" w:eastAsia="仿宋_GB2312" w:hAnsi="Times New Roman" w:cs="Times New Roman"/>
          <w:sz w:val="32"/>
          <w:szCs w:val="32"/>
        </w:rPr>
        <w:t>2.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资金使用合</w:t>
      </w:r>
      <w:proofErr w:type="gramStart"/>
      <w:r w:rsidRPr="00696868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696868">
        <w:rPr>
          <w:rFonts w:ascii="Times New Roman" w:eastAsia="仿宋_GB2312" w:hAnsi="Times New Roman" w:cs="Times New Roman"/>
          <w:sz w:val="32"/>
          <w:szCs w:val="32"/>
        </w:rPr>
        <w:t>和安全性</w:t>
      </w:r>
      <w:bookmarkEnd w:id="48"/>
      <w:bookmarkEnd w:id="49"/>
      <w:bookmarkEnd w:id="50"/>
      <w:bookmarkEnd w:id="51"/>
      <w:bookmarkEnd w:id="52"/>
      <w:bookmarkEnd w:id="53"/>
    </w:p>
    <w:p w14:paraId="658A2C92" w14:textId="14307B32" w:rsidR="00D36E36" w:rsidRPr="00696868" w:rsidRDefault="000C532B">
      <w:pPr>
        <w:adjustRightInd w:val="0"/>
        <w:snapToGrid w:val="0"/>
        <w:spacing w:line="360" w:lineRule="auto"/>
        <w:ind w:firstLineChars="200" w:firstLine="640"/>
      </w:pP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市公安局交管局部门预算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资金管理按照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财务管理暂行办法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执行，本次评价通过部门财务抽凭，未发现截留、挤占、挪用、虚列支出等情况，资金使用合</w:t>
      </w:r>
      <w:proofErr w:type="gramStart"/>
      <w:r w:rsidRPr="00696868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696868">
        <w:rPr>
          <w:rFonts w:ascii="Times New Roman" w:eastAsia="仿宋_GB2312" w:hAnsi="Times New Roman" w:cs="Times New Roman"/>
          <w:sz w:val="32"/>
          <w:szCs w:val="32"/>
        </w:rPr>
        <w:t>性较好。在资金使用监管上，能够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有效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落实重大支出集体研究制度，年度资金分配履行了相关报批手续，专项资金使用建立了专户核算、统一管理制度。会计核算方面，对项目资金进行单独建账、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单独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核算，会计凭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lastRenderedPageBreak/>
        <w:t>证资料保存完整、装订规范。</w:t>
      </w:r>
    </w:p>
    <w:p w14:paraId="00DCB815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54" w:name="_Toc102158235"/>
      <w:bookmarkStart w:id="55" w:name="_Toc166255129"/>
      <w:r w:rsidRPr="00696868">
        <w:rPr>
          <w:rFonts w:ascii="Times New Roman" w:eastAsia="楷体" w:hAnsi="Times New Roman" w:cs="Times New Roman"/>
          <w:sz w:val="32"/>
          <w:szCs w:val="32"/>
        </w:rPr>
        <w:t>（二）资产管理</w:t>
      </w:r>
      <w:bookmarkEnd w:id="54"/>
      <w:bookmarkEnd w:id="55"/>
    </w:p>
    <w:p w14:paraId="2E8EA558" w14:textId="5C5B7155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为加强资产管理，市公安局交管局制定了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通用资产管理规定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，明确了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通用资产的购置配发、通用资产日常管理、通用资产处置及通用资产绩效考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评等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相关要求。截至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2024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年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12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月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31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日，市公安局交管局固定资产净值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106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335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1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万元（累计折旧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242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116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99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万元）。</w:t>
      </w:r>
    </w:p>
    <w:p w14:paraId="3169DEC9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color w:val="000000" w:themeColor="text1"/>
          <w:sz w:val="32"/>
          <w:szCs w:val="32"/>
        </w:rPr>
      </w:pPr>
      <w:bookmarkStart w:id="56" w:name="_Toc166255130"/>
      <w:bookmarkStart w:id="57" w:name="_Toc102158236"/>
      <w:r w:rsidRPr="00696868">
        <w:rPr>
          <w:rFonts w:ascii="Times New Roman" w:eastAsia="楷体" w:hAnsi="Times New Roman" w:cs="Times New Roman"/>
          <w:color w:val="000000" w:themeColor="text1"/>
          <w:sz w:val="32"/>
          <w:szCs w:val="32"/>
        </w:rPr>
        <w:t>（三）绩效管理</w:t>
      </w:r>
      <w:bookmarkEnd w:id="56"/>
      <w:bookmarkEnd w:id="57"/>
    </w:p>
    <w:p w14:paraId="4594A4BE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开展重大项目事前绩效评估，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市公安局交管局根据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“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先有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项目立项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再申请财政资金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”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的相关要求，开展了新增项目事前绩效评估工作，并出具事前绩效评估报告，促进预算绩效管理端口前置。</w:t>
      </w:r>
    </w:p>
    <w:p w14:paraId="7280D570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3"/>
        <w:rPr>
          <w:rFonts w:ascii="仿宋_GB2312" w:eastAsia="仿宋_GB231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加强绩效跟踪检查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，市公安局交管局严格落实半年度绩效监控工作要求</w:t>
      </w:r>
      <w:r w:rsidRPr="00696868">
        <w:rPr>
          <w:rFonts w:ascii="仿宋_GB2312" w:eastAsia="仿宋_GB2312" w:hint="eastAsia"/>
          <w:sz w:val="32"/>
          <w:szCs w:val="32"/>
        </w:rPr>
        <w:t>，以各单位预算申报材料、绩效目标申报表等资料为依据，以绩效目标为核心，围绕绩效目标的完成情况、预算执行情况开展工作，检查绩效目标实现程度，及时发现项目预算执行中的问题，向各单位集中反馈，并对于执行有偏差的项目，提出整改建议及要求。</w:t>
      </w:r>
    </w:p>
    <w:p w14:paraId="53892C10" w14:textId="762A9C6C" w:rsidR="00D36E36" w:rsidRPr="00696868" w:rsidRDefault="000C532B">
      <w:pPr>
        <w:pStyle w:val="3"/>
        <w:adjustRightInd w:val="0"/>
        <w:snapToGrid w:val="0"/>
        <w:spacing w:line="360" w:lineRule="auto"/>
        <w:ind w:leftChars="0" w:left="0" w:firstLineChars="200" w:firstLine="643"/>
        <w:rPr>
          <w:rFonts w:ascii="仿宋_GB2312" w:eastAsia="仿宋_GB2312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开展部门</w:t>
      </w:r>
      <w:r w:rsidRPr="00696868">
        <w:rPr>
          <w:rFonts w:ascii="Times New Roman" w:eastAsia="仿宋_GB2312" w:hAnsi="Times New Roman" w:cs="Times New Roman"/>
          <w:b/>
          <w:bCs/>
          <w:color w:val="000000" w:themeColor="text1"/>
          <w:sz w:val="32"/>
          <w:szCs w:val="32"/>
        </w:rPr>
        <w:t>绩效评价</w:t>
      </w:r>
      <w:r w:rsidRPr="00696868">
        <w:rPr>
          <w:rFonts w:ascii="Times New Roman" w:eastAsia="仿宋_GB2312" w:hAnsi="Times New Roman" w:cs="Times New Roman" w:hint="eastAsia"/>
          <w:b/>
          <w:bCs/>
          <w:color w:val="000000" w:themeColor="text1"/>
          <w:sz w:val="32"/>
          <w:szCs w:val="32"/>
        </w:rPr>
        <w:t>，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市公安局交管局</w:t>
      </w:r>
      <w:r w:rsidRPr="00696868">
        <w:rPr>
          <w:rFonts w:ascii="仿宋_GB2312" w:eastAsia="仿宋_GB2312" w:hint="eastAsia"/>
          <w:sz w:val="32"/>
          <w:szCs w:val="32"/>
        </w:rPr>
        <w:t>依据北京市财政局2024年预算绩效管理</w:t>
      </w:r>
      <w:r w:rsidR="00112F8F" w:rsidRPr="00696868">
        <w:rPr>
          <w:rFonts w:ascii="仿宋_GB2312" w:eastAsia="仿宋_GB2312" w:hint="eastAsia"/>
          <w:sz w:val="32"/>
          <w:szCs w:val="32"/>
        </w:rPr>
        <w:t>工作</w:t>
      </w:r>
      <w:r w:rsidRPr="00696868">
        <w:rPr>
          <w:rFonts w:ascii="仿宋_GB2312" w:eastAsia="仿宋_GB2312" w:hint="eastAsia"/>
          <w:sz w:val="32"/>
          <w:szCs w:val="32"/>
        </w:rPr>
        <w:t>要求，对部门2</w:t>
      </w:r>
      <w:r w:rsidRPr="00696868">
        <w:rPr>
          <w:rFonts w:ascii="仿宋_GB2312" w:eastAsia="仿宋_GB2312"/>
          <w:sz w:val="32"/>
          <w:szCs w:val="32"/>
        </w:rPr>
        <w:t>0</w:t>
      </w:r>
      <w:r w:rsidRPr="00696868">
        <w:rPr>
          <w:rFonts w:ascii="仿宋_GB2312" w:eastAsia="仿宋_GB2312" w:hint="eastAsia"/>
          <w:sz w:val="32"/>
          <w:szCs w:val="32"/>
        </w:rPr>
        <w:t>24年所有预算项目</w:t>
      </w:r>
      <w:r w:rsidRPr="00696868">
        <w:rPr>
          <w:rFonts w:ascii="仿宋_GB2312" w:eastAsia="仿宋_GB2312" w:hint="eastAsia"/>
          <w:sz w:val="32"/>
          <w:szCs w:val="32"/>
        </w:rPr>
        <w:lastRenderedPageBreak/>
        <w:t>开展了绩效自评，并及时报送绩效自评工作成果。为强化监督，进一步提高绩效评价结果的权威性和公信力，在绩效评价工作开展过程中，</w:t>
      </w:r>
      <w:r w:rsidRPr="00696868">
        <w:rPr>
          <w:rFonts w:ascii="仿宋_GB2312" w:eastAsia="仿宋_GB2312" w:hAnsi="Times New Roman" w:cs="Times New Roman"/>
          <w:sz w:val="32"/>
          <w:szCs w:val="32"/>
        </w:rPr>
        <w:t>积极</w:t>
      </w:r>
      <w:r w:rsidRPr="00696868">
        <w:rPr>
          <w:rFonts w:ascii="仿宋_GB2312" w:eastAsia="仿宋_GB2312" w:hAnsi="Times New Roman" w:cs="Times New Roman" w:hint="eastAsia"/>
          <w:sz w:val="32"/>
          <w:szCs w:val="32"/>
        </w:rPr>
        <w:t>外部专家参与评价</w:t>
      </w:r>
      <w:r w:rsidRPr="00696868">
        <w:rPr>
          <w:rFonts w:ascii="仿宋_GB2312" w:eastAsia="仿宋_GB2312" w:hint="eastAsia"/>
          <w:sz w:val="32"/>
          <w:szCs w:val="32"/>
        </w:rPr>
        <w:t>，既提高绩效评价专家会公信力和透明度，提供部门预算绩效管理工作提质增效。</w:t>
      </w:r>
    </w:p>
    <w:p w14:paraId="506C3DC0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58" w:name="_Toc102158237"/>
      <w:bookmarkStart w:id="59" w:name="_Toc166255131"/>
      <w:r w:rsidRPr="00696868">
        <w:rPr>
          <w:rFonts w:ascii="Times New Roman" w:eastAsia="楷体" w:hAnsi="Times New Roman" w:cs="Times New Roman"/>
          <w:sz w:val="32"/>
          <w:szCs w:val="32"/>
        </w:rPr>
        <w:t>（四）结转结余率</w:t>
      </w:r>
      <w:bookmarkEnd w:id="58"/>
      <w:bookmarkEnd w:id="59"/>
    </w:p>
    <w:p w14:paraId="6389C3B8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  <w:lang w:eastAsia="zh-Hans"/>
        </w:rPr>
      </w:pPr>
      <w:bookmarkStart w:id="60" w:name="_Hlk197615858"/>
      <w:r w:rsidRPr="00696868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年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年末结转结余资金总额为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32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774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20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万元，全年支出预算数为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528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304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6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8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万元，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部门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资金结转结余率为</w:t>
      </w:r>
      <w:bookmarkStart w:id="61" w:name="_Hlk103285422"/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6.20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%</w:t>
      </w:r>
      <w:bookmarkEnd w:id="61"/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。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202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sz w:val="32"/>
          <w:szCs w:val="32"/>
          <w:lang w:eastAsia="zh-Hans"/>
        </w:rPr>
        <w:t>年度部门结转结余率较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2023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年度（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7.40%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  <w:lang w:eastAsia="zh-Hans"/>
        </w:rPr>
        <w:t>）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下降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1.20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%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，有效控化部门结转结余资金水平。</w:t>
      </w:r>
    </w:p>
    <w:p w14:paraId="372642EF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62" w:name="_Toc166255132"/>
      <w:bookmarkStart w:id="63" w:name="_Toc102158238"/>
      <w:bookmarkEnd w:id="60"/>
      <w:r w:rsidRPr="00696868">
        <w:rPr>
          <w:rFonts w:ascii="Times New Roman" w:eastAsia="楷体" w:hAnsi="Times New Roman" w:cs="Times New Roman"/>
          <w:sz w:val="32"/>
          <w:szCs w:val="32"/>
        </w:rPr>
        <w:t>（五）部门预决算差异率</w:t>
      </w:r>
      <w:bookmarkEnd w:id="62"/>
      <w:bookmarkEnd w:id="63"/>
    </w:p>
    <w:p w14:paraId="51E2A38A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年初预算数为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528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584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97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本年支出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决算数为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517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,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630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.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95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万元，部门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资金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预决算差异率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2.07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%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，部门预决算差异率控制情况较好。</w:t>
      </w:r>
    </w:p>
    <w:p w14:paraId="7EA8C15E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bookmarkStart w:id="64" w:name="_Toc166255133"/>
      <w:bookmarkStart w:id="65" w:name="_Toc102158239"/>
      <w:r w:rsidRPr="00696868">
        <w:rPr>
          <w:rFonts w:ascii="Times New Roman" w:eastAsia="黑体" w:hAnsi="Times New Roman" w:cs="Times New Roman"/>
          <w:sz w:val="32"/>
          <w:szCs w:val="32"/>
        </w:rPr>
        <w:t>五、总体评价结论</w:t>
      </w:r>
      <w:bookmarkEnd w:id="64"/>
      <w:bookmarkEnd w:id="65"/>
    </w:p>
    <w:p w14:paraId="2B0F23FE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66" w:name="_Toc102158240"/>
      <w:bookmarkStart w:id="67" w:name="_Toc166255134"/>
      <w:bookmarkStart w:id="68" w:name="_Hlk72426764"/>
      <w:r w:rsidRPr="00696868">
        <w:rPr>
          <w:rFonts w:ascii="Times New Roman" w:eastAsia="楷体" w:hAnsi="Times New Roman" w:cs="Times New Roman"/>
          <w:sz w:val="32"/>
          <w:szCs w:val="32"/>
        </w:rPr>
        <w:t>（一）评价得分情况</w:t>
      </w:r>
      <w:bookmarkEnd w:id="66"/>
      <w:bookmarkEnd w:id="67"/>
    </w:p>
    <w:bookmarkEnd w:id="68"/>
    <w:p w14:paraId="7EE49006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696868">
        <w:rPr>
          <w:rFonts w:ascii="Times New Roman" w:eastAsia="仿宋_GB2312" w:hAnsi="Times New Roman" w:cs="Times New Roman"/>
          <w:bCs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部</w:t>
      </w:r>
      <w:proofErr w:type="gramStart"/>
      <w:r w:rsidRPr="00696868">
        <w:rPr>
          <w:rFonts w:ascii="Times New Roman" w:eastAsia="仿宋_GB2312" w:hAnsi="Times New Roman" w:cs="Times New Roman"/>
          <w:sz w:val="32"/>
          <w:szCs w:val="32"/>
        </w:rPr>
        <w:t>门整体</w:t>
      </w:r>
      <w:proofErr w:type="gramEnd"/>
      <w:r w:rsidRPr="00696868">
        <w:rPr>
          <w:rFonts w:ascii="Times New Roman" w:eastAsia="仿宋_GB2312" w:hAnsi="Times New Roman" w:cs="Times New Roman"/>
          <w:sz w:val="32"/>
          <w:szCs w:val="32"/>
        </w:rPr>
        <w:t>绩效评价得分为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9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7.60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分，综合评价等级为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优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，各一级指标得分情况如下：</w:t>
      </w:r>
    </w:p>
    <w:p w14:paraId="1FD86C7C" w14:textId="77777777" w:rsidR="00D36E36" w:rsidRPr="00696868" w:rsidRDefault="00D36E36">
      <w:pPr>
        <w:pStyle w:val="3"/>
        <w:rPr>
          <w:rFonts w:ascii="Times New Roman" w:eastAsia="仿宋_GB2312" w:hAnsi="Times New Roman" w:cs="Times New Roman"/>
          <w:sz w:val="32"/>
          <w:szCs w:val="32"/>
        </w:rPr>
      </w:pPr>
    </w:p>
    <w:p w14:paraId="080AB854" w14:textId="77777777" w:rsidR="00D36E36" w:rsidRPr="00696868" w:rsidRDefault="00D36E36"/>
    <w:p w14:paraId="25785AAE" w14:textId="77777777" w:rsidR="00D36E36" w:rsidRPr="00696868" w:rsidRDefault="000C532B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sz w:val="22"/>
        </w:rPr>
      </w:pPr>
      <w:r w:rsidRPr="00696868">
        <w:rPr>
          <w:rFonts w:ascii="Times New Roman" w:eastAsia="黑体" w:hAnsi="Times New Roman" w:cs="Times New Roman"/>
          <w:bCs/>
          <w:sz w:val="28"/>
          <w:szCs w:val="28"/>
        </w:rPr>
        <w:t>表</w:t>
      </w:r>
      <w:r w:rsidRPr="00696868">
        <w:rPr>
          <w:rFonts w:ascii="Times New Roman" w:eastAsia="黑体" w:hAnsi="Times New Roman" w:cs="Times New Roman"/>
          <w:bCs/>
          <w:sz w:val="28"/>
          <w:szCs w:val="28"/>
        </w:rPr>
        <w:t>4</w:t>
      </w:r>
      <w:r w:rsidRPr="00696868">
        <w:rPr>
          <w:rFonts w:ascii="Times New Roman" w:eastAsia="黑体" w:hAnsi="Times New Roman" w:cs="Times New Roman" w:hint="eastAsia"/>
          <w:bCs/>
          <w:sz w:val="28"/>
          <w:szCs w:val="28"/>
        </w:rPr>
        <w:t>：</w:t>
      </w:r>
      <w:r w:rsidRPr="00696868">
        <w:rPr>
          <w:rFonts w:ascii="Times New Roman" w:eastAsia="黑体" w:hAnsi="Times New Roman" w:cs="Times New Roman"/>
          <w:bCs/>
          <w:sz w:val="28"/>
          <w:szCs w:val="28"/>
        </w:rPr>
        <w:t>202</w:t>
      </w:r>
      <w:r w:rsidRPr="00696868">
        <w:rPr>
          <w:rFonts w:ascii="Times New Roman" w:eastAsia="黑体" w:hAnsi="Times New Roman" w:cs="Times New Roman" w:hint="eastAsia"/>
          <w:bCs/>
          <w:sz w:val="28"/>
          <w:szCs w:val="28"/>
        </w:rPr>
        <w:t>4</w:t>
      </w:r>
      <w:r w:rsidRPr="00696868">
        <w:rPr>
          <w:rFonts w:ascii="Times New Roman" w:eastAsia="黑体" w:hAnsi="Times New Roman" w:cs="Times New Roman"/>
          <w:bCs/>
          <w:sz w:val="28"/>
          <w:szCs w:val="28"/>
        </w:rPr>
        <w:t>年市公安局交管局部</w:t>
      </w:r>
      <w:proofErr w:type="gramStart"/>
      <w:r w:rsidRPr="00696868">
        <w:rPr>
          <w:rFonts w:ascii="Times New Roman" w:eastAsia="黑体" w:hAnsi="Times New Roman" w:cs="Times New Roman"/>
          <w:bCs/>
          <w:sz w:val="28"/>
          <w:szCs w:val="28"/>
        </w:rPr>
        <w:t>门整体</w:t>
      </w:r>
      <w:proofErr w:type="gramEnd"/>
      <w:r w:rsidRPr="00696868">
        <w:rPr>
          <w:rFonts w:ascii="Times New Roman" w:eastAsia="黑体" w:hAnsi="Times New Roman" w:cs="Times New Roman"/>
          <w:bCs/>
          <w:sz w:val="28"/>
          <w:szCs w:val="28"/>
        </w:rPr>
        <w:t>绩效得分情况表</w:t>
      </w:r>
    </w:p>
    <w:tbl>
      <w:tblPr>
        <w:tblStyle w:val="a8"/>
        <w:tblW w:w="4910" w:type="pct"/>
        <w:jc w:val="center"/>
        <w:tblLook w:val="04A0" w:firstRow="1" w:lastRow="0" w:firstColumn="1" w:lastColumn="0" w:noHBand="0" w:noVBand="1"/>
      </w:tblPr>
      <w:tblGrid>
        <w:gridCol w:w="2592"/>
        <w:gridCol w:w="1861"/>
        <w:gridCol w:w="2303"/>
        <w:gridCol w:w="2141"/>
      </w:tblGrid>
      <w:tr w:rsidR="00D36E36" w:rsidRPr="00696868" w14:paraId="6D466610" w14:textId="77777777">
        <w:trPr>
          <w:trHeight w:val="397"/>
          <w:jc w:val="center"/>
        </w:trPr>
        <w:tc>
          <w:tcPr>
            <w:tcW w:w="1457" w:type="pct"/>
            <w:vAlign w:val="center"/>
          </w:tcPr>
          <w:p w14:paraId="153B8607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一级指标</w:t>
            </w:r>
          </w:p>
        </w:tc>
        <w:tc>
          <w:tcPr>
            <w:tcW w:w="1046" w:type="pct"/>
            <w:vAlign w:val="center"/>
          </w:tcPr>
          <w:p w14:paraId="27917297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1294" w:type="pct"/>
            <w:vAlign w:val="center"/>
          </w:tcPr>
          <w:p w14:paraId="11E5DF9A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得分</w:t>
            </w:r>
          </w:p>
        </w:tc>
        <w:tc>
          <w:tcPr>
            <w:tcW w:w="1203" w:type="pct"/>
            <w:vAlign w:val="center"/>
          </w:tcPr>
          <w:p w14:paraId="3ABFDB21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得分率</w:t>
            </w:r>
          </w:p>
        </w:tc>
      </w:tr>
      <w:tr w:rsidR="00D36E36" w:rsidRPr="00696868" w14:paraId="2E34EF3D" w14:textId="77777777">
        <w:trPr>
          <w:trHeight w:val="397"/>
          <w:jc w:val="center"/>
        </w:trPr>
        <w:tc>
          <w:tcPr>
            <w:tcW w:w="1457" w:type="pct"/>
            <w:vAlign w:val="center"/>
          </w:tcPr>
          <w:p w14:paraId="40C6754A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lastRenderedPageBreak/>
              <w:t>当年预算执行情况</w:t>
            </w:r>
          </w:p>
        </w:tc>
        <w:tc>
          <w:tcPr>
            <w:tcW w:w="1046" w:type="pct"/>
            <w:vAlign w:val="center"/>
          </w:tcPr>
          <w:p w14:paraId="188E6CEE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4" w:type="pct"/>
            <w:vAlign w:val="center"/>
          </w:tcPr>
          <w:p w14:paraId="2AF5A028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19.60</w:t>
            </w:r>
          </w:p>
        </w:tc>
        <w:tc>
          <w:tcPr>
            <w:tcW w:w="1203" w:type="pct"/>
            <w:vAlign w:val="center"/>
          </w:tcPr>
          <w:p w14:paraId="2C0DF320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98.00%</w:t>
            </w:r>
          </w:p>
        </w:tc>
      </w:tr>
      <w:tr w:rsidR="00D36E36" w:rsidRPr="00696868" w14:paraId="68ABEEB5" w14:textId="77777777">
        <w:trPr>
          <w:trHeight w:val="397"/>
          <w:jc w:val="center"/>
        </w:trPr>
        <w:tc>
          <w:tcPr>
            <w:tcW w:w="1457" w:type="pct"/>
            <w:vAlign w:val="center"/>
          </w:tcPr>
          <w:p w14:paraId="3FCABE1E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整体绩效目标实现情况</w:t>
            </w:r>
          </w:p>
        </w:tc>
        <w:tc>
          <w:tcPr>
            <w:tcW w:w="1046" w:type="pct"/>
            <w:vAlign w:val="center"/>
          </w:tcPr>
          <w:p w14:paraId="5FEC5F43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94" w:type="pct"/>
            <w:vAlign w:val="center"/>
          </w:tcPr>
          <w:p w14:paraId="0A0F696E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58.60</w:t>
            </w:r>
          </w:p>
        </w:tc>
        <w:tc>
          <w:tcPr>
            <w:tcW w:w="1203" w:type="pct"/>
            <w:vAlign w:val="center"/>
          </w:tcPr>
          <w:p w14:paraId="0C4C5D82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97.67%</w:t>
            </w:r>
          </w:p>
        </w:tc>
      </w:tr>
      <w:tr w:rsidR="00D36E36" w:rsidRPr="00696868" w14:paraId="2EE119E0" w14:textId="77777777">
        <w:trPr>
          <w:trHeight w:val="397"/>
          <w:jc w:val="center"/>
        </w:trPr>
        <w:tc>
          <w:tcPr>
            <w:tcW w:w="1457" w:type="pct"/>
            <w:vAlign w:val="center"/>
          </w:tcPr>
          <w:p w14:paraId="26F19595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预算管理情况</w:t>
            </w:r>
          </w:p>
        </w:tc>
        <w:tc>
          <w:tcPr>
            <w:tcW w:w="1046" w:type="pct"/>
            <w:vAlign w:val="center"/>
          </w:tcPr>
          <w:p w14:paraId="1D044A53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94" w:type="pct"/>
            <w:vAlign w:val="center"/>
          </w:tcPr>
          <w:p w14:paraId="48A419C9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19.40</w:t>
            </w:r>
          </w:p>
        </w:tc>
        <w:tc>
          <w:tcPr>
            <w:tcW w:w="1203" w:type="pct"/>
            <w:vAlign w:val="center"/>
          </w:tcPr>
          <w:p w14:paraId="5A7E005F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9</w:t>
            </w: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7</w:t>
            </w: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.</w:t>
            </w: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0</w:t>
            </w: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0%</w:t>
            </w:r>
          </w:p>
        </w:tc>
      </w:tr>
      <w:tr w:rsidR="00D36E36" w:rsidRPr="00696868" w14:paraId="661A1550" w14:textId="77777777">
        <w:trPr>
          <w:trHeight w:val="397"/>
          <w:jc w:val="center"/>
        </w:trPr>
        <w:tc>
          <w:tcPr>
            <w:tcW w:w="1457" w:type="pct"/>
            <w:vAlign w:val="center"/>
          </w:tcPr>
          <w:p w14:paraId="0CAA664B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1046" w:type="pct"/>
            <w:vAlign w:val="center"/>
          </w:tcPr>
          <w:p w14:paraId="0022FC67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94" w:type="pct"/>
            <w:vAlign w:val="center"/>
          </w:tcPr>
          <w:p w14:paraId="5939B4E3" w14:textId="77777777" w:rsidR="00D36E36" w:rsidRPr="00696868" w:rsidRDefault="000C532B">
            <w:pPr>
              <w:jc w:val="center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97.60</w:t>
            </w:r>
          </w:p>
        </w:tc>
        <w:tc>
          <w:tcPr>
            <w:tcW w:w="1203" w:type="pct"/>
            <w:vAlign w:val="center"/>
          </w:tcPr>
          <w:p w14:paraId="15DD4E86" w14:textId="77777777" w:rsidR="00D36E36" w:rsidRPr="00696868" w:rsidRDefault="000C532B">
            <w:pPr>
              <w:jc w:val="center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97.</w:t>
            </w:r>
            <w:r w:rsidRPr="00696868">
              <w:rPr>
                <w:rFonts w:ascii="Times New Roman" w:eastAsia="宋体" w:hAnsi="Times New Roman" w:cs="Times New Roman" w:hint="eastAsia"/>
                <w:sz w:val="20"/>
                <w:szCs w:val="20"/>
              </w:rPr>
              <w:t>6</w:t>
            </w:r>
            <w:r w:rsidRPr="00696868">
              <w:rPr>
                <w:rFonts w:ascii="Times New Roman" w:eastAsia="宋体" w:hAnsi="Times New Roman" w:cs="Times New Roman"/>
                <w:sz w:val="20"/>
                <w:szCs w:val="20"/>
              </w:rPr>
              <w:t>0%</w:t>
            </w:r>
          </w:p>
        </w:tc>
      </w:tr>
    </w:tbl>
    <w:p w14:paraId="11B08577" w14:textId="77777777" w:rsidR="00D36E36" w:rsidRPr="00696868" w:rsidRDefault="00D36E36">
      <w:pPr>
        <w:rPr>
          <w:rFonts w:ascii="Times New Roman" w:hAnsi="Times New Roman" w:cs="Times New Roman"/>
        </w:rPr>
      </w:pPr>
    </w:p>
    <w:p w14:paraId="3BFCF32F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outlineLvl w:val="1"/>
        <w:rPr>
          <w:rFonts w:ascii="Times New Roman" w:eastAsia="楷体" w:hAnsi="Times New Roman" w:cs="Times New Roman"/>
          <w:sz w:val="32"/>
          <w:szCs w:val="32"/>
        </w:rPr>
      </w:pPr>
      <w:bookmarkStart w:id="69" w:name="_Toc166255135"/>
      <w:bookmarkStart w:id="70" w:name="_Toc102158241"/>
      <w:r w:rsidRPr="00696868">
        <w:rPr>
          <w:rFonts w:ascii="Times New Roman" w:eastAsia="楷体" w:hAnsi="Times New Roman" w:cs="Times New Roman"/>
          <w:sz w:val="32"/>
          <w:szCs w:val="32"/>
        </w:rPr>
        <w:t>（二）存在的问题及原因分析</w:t>
      </w:r>
      <w:bookmarkEnd w:id="69"/>
      <w:bookmarkEnd w:id="70"/>
    </w:p>
    <w:p w14:paraId="720A1A74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部门整体绩效目标设置有待进一步完善，</w:t>
      </w:r>
      <w:r w:rsidRPr="00696868">
        <w:rPr>
          <w:rFonts w:ascii="仿宋_GB2312" w:eastAsia="仿宋_GB2312"/>
          <w:bCs/>
          <w:kern w:val="0"/>
          <w:sz w:val="32"/>
          <w:szCs w:val="32"/>
        </w:rPr>
        <w:t>市公安局交管局</w:t>
      </w:r>
      <w:r w:rsidRPr="00696868">
        <w:rPr>
          <w:rFonts w:ascii="仿宋_GB2312" w:eastAsia="仿宋_GB2312" w:hint="eastAsia"/>
          <w:bCs/>
          <w:kern w:val="0"/>
          <w:sz w:val="32"/>
          <w:szCs w:val="32"/>
        </w:rPr>
        <w:t>根据部门职责及年度工作任务设置部门整体绩效目标，由于部门承担全市重点工作数量多、任务重，部门整体绩效目标对各项重点工作覆盖难度较大，部门整体绩效目标设置不够细化、量化，未覆盖年度所有重点工作任务，部门整体绩效目标设置科学合理性有待进一步提升</w:t>
      </w:r>
      <w:r w:rsidRPr="00696868">
        <w:rPr>
          <w:rFonts w:ascii="仿宋_GB2312" w:eastAsia="仿宋_GB2312" w:hint="eastAsia"/>
          <w:kern w:val="0"/>
          <w:sz w:val="32"/>
          <w:szCs w:val="32"/>
        </w:rPr>
        <w:t>。</w:t>
      </w:r>
    </w:p>
    <w:p w14:paraId="08A5BFD1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jc w:val="left"/>
        <w:outlineLvl w:val="0"/>
        <w:rPr>
          <w:rFonts w:ascii="Times New Roman" w:eastAsia="黑体" w:hAnsi="Times New Roman" w:cs="Times New Roman"/>
          <w:sz w:val="32"/>
          <w:szCs w:val="32"/>
        </w:rPr>
      </w:pPr>
      <w:bookmarkStart w:id="71" w:name="_Toc166255136"/>
      <w:bookmarkStart w:id="72" w:name="_Toc102158242"/>
      <w:bookmarkStart w:id="73" w:name="_Toc72439026"/>
      <w:r w:rsidRPr="00696868">
        <w:rPr>
          <w:rFonts w:ascii="Times New Roman" w:eastAsia="黑体" w:hAnsi="Times New Roman" w:cs="Times New Roman"/>
          <w:sz w:val="32"/>
          <w:szCs w:val="32"/>
        </w:rPr>
        <w:t>六、措施建议</w:t>
      </w:r>
      <w:bookmarkEnd w:id="71"/>
      <w:bookmarkEnd w:id="72"/>
      <w:bookmarkEnd w:id="73"/>
    </w:p>
    <w:p w14:paraId="59BC6926" w14:textId="77777777" w:rsidR="00D36E36" w:rsidRPr="00696868" w:rsidRDefault="000C532B">
      <w:pPr>
        <w:adjustRightInd w:val="0"/>
        <w:snapToGrid w:val="0"/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proofErr w:type="gramStart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完善部门</w:t>
      </w:r>
      <w:proofErr w:type="gramEnd"/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整体绩效目标设置，进一步提升预算绩效管理意识，</w:t>
      </w:r>
      <w:r w:rsidRPr="00696868">
        <w:rPr>
          <w:rFonts w:ascii="Times New Roman" w:eastAsia="仿宋_GB2312" w:hAnsi="Times New Roman" w:cs="Times New Roman"/>
          <w:sz w:val="32"/>
          <w:szCs w:val="32"/>
        </w:rPr>
        <w:t>市公安局交管局</w:t>
      </w:r>
      <w:r w:rsidRPr="00696868">
        <w:rPr>
          <w:rFonts w:ascii="Times New Roman" w:eastAsia="仿宋_GB2312" w:hAnsi="Times New Roman" w:cs="Times New Roman" w:hint="eastAsia"/>
          <w:sz w:val="32"/>
          <w:szCs w:val="32"/>
        </w:rPr>
        <w:t>将</w:t>
      </w:r>
      <w:r w:rsidRPr="00696868">
        <w:rPr>
          <w:rFonts w:ascii="仿宋_GB2312" w:eastAsia="仿宋_GB2312" w:hint="eastAsia"/>
          <w:bCs/>
          <w:sz w:val="32"/>
          <w:szCs w:val="32"/>
        </w:rPr>
        <w:t>进一步加强</w:t>
      </w:r>
      <w:proofErr w:type="gramStart"/>
      <w:r w:rsidRPr="00696868">
        <w:rPr>
          <w:rFonts w:ascii="仿宋_GB2312" w:eastAsia="仿宋_GB2312" w:hint="eastAsia"/>
          <w:bCs/>
          <w:sz w:val="32"/>
          <w:szCs w:val="32"/>
        </w:rPr>
        <w:t>完善部门</w:t>
      </w:r>
      <w:proofErr w:type="gramEnd"/>
      <w:r w:rsidRPr="00696868">
        <w:rPr>
          <w:rFonts w:ascii="仿宋_GB2312" w:eastAsia="仿宋_GB2312" w:hint="eastAsia"/>
          <w:bCs/>
          <w:sz w:val="32"/>
          <w:szCs w:val="32"/>
        </w:rPr>
        <w:t>整体绩效目标设置，</w:t>
      </w:r>
      <w:r w:rsidRPr="00696868">
        <w:rPr>
          <w:rFonts w:ascii="仿宋_GB2312" w:eastAsia="仿宋_GB2312"/>
          <w:bCs/>
          <w:sz w:val="32"/>
          <w:szCs w:val="32"/>
        </w:rPr>
        <w:t>加强部门整体绩效目标填报研究</w:t>
      </w:r>
      <w:r w:rsidRPr="00696868">
        <w:rPr>
          <w:rFonts w:ascii="仿宋_GB2312" w:eastAsia="仿宋_GB2312" w:hint="eastAsia"/>
          <w:bCs/>
          <w:sz w:val="32"/>
          <w:szCs w:val="32"/>
        </w:rPr>
        <w:t>，建立部门职责-年度任务-绩效目标-预算资金衔接机制，同时进一步加强</w:t>
      </w:r>
      <w:r w:rsidRPr="00696868">
        <w:rPr>
          <w:rFonts w:ascii="仿宋_GB2312" w:eastAsia="仿宋_GB2312"/>
          <w:bCs/>
          <w:sz w:val="32"/>
          <w:szCs w:val="32"/>
        </w:rPr>
        <w:t>财务部门与业务部门</w:t>
      </w:r>
      <w:r w:rsidRPr="00696868">
        <w:rPr>
          <w:rFonts w:ascii="仿宋_GB2312" w:eastAsia="仿宋_GB2312" w:hint="eastAsia"/>
          <w:bCs/>
          <w:sz w:val="32"/>
          <w:szCs w:val="32"/>
        </w:rPr>
        <w:t>及</w:t>
      </w:r>
      <w:r w:rsidRPr="00696868">
        <w:rPr>
          <w:rFonts w:ascii="仿宋_GB2312" w:eastAsia="仿宋_GB2312"/>
          <w:bCs/>
          <w:sz w:val="32"/>
          <w:szCs w:val="32"/>
        </w:rPr>
        <w:t>项目</w:t>
      </w:r>
      <w:r w:rsidRPr="00696868">
        <w:rPr>
          <w:rFonts w:ascii="仿宋_GB2312" w:eastAsia="仿宋_GB2312" w:hint="eastAsia"/>
          <w:bCs/>
          <w:sz w:val="32"/>
          <w:szCs w:val="32"/>
        </w:rPr>
        <w:t>实施单位</w:t>
      </w:r>
      <w:r w:rsidRPr="00696868">
        <w:rPr>
          <w:rFonts w:ascii="仿宋_GB2312" w:eastAsia="仿宋_GB2312"/>
          <w:bCs/>
          <w:sz w:val="32"/>
          <w:szCs w:val="32"/>
        </w:rPr>
        <w:t>的协同工作机制，提升各项</w:t>
      </w:r>
      <w:proofErr w:type="gramStart"/>
      <w:r w:rsidRPr="00696868">
        <w:rPr>
          <w:rFonts w:ascii="仿宋_GB2312" w:eastAsia="仿宋_GB2312"/>
          <w:bCs/>
          <w:sz w:val="32"/>
          <w:szCs w:val="32"/>
        </w:rPr>
        <w:t>目单位</w:t>
      </w:r>
      <w:bookmarkStart w:id="74" w:name="_GoBack"/>
      <w:bookmarkEnd w:id="74"/>
      <w:proofErr w:type="gramEnd"/>
      <w:r w:rsidRPr="00696868">
        <w:rPr>
          <w:rFonts w:ascii="仿宋_GB2312" w:eastAsia="仿宋_GB2312"/>
          <w:bCs/>
          <w:sz w:val="32"/>
          <w:szCs w:val="32"/>
        </w:rPr>
        <w:t>对绩效目标填报的重视程度，结合项目实际情况，合理制定绩效目标，</w:t>
      </w:r>
      <w:r w:rsidRPr="00696868">
        <w:rPr>
          <w:rFonts w:ascii="仿宋_GB2312" w:eastAsia="仿宋_GB2312" w:hint="eastAsia"/>
          <w:bCs/>
          <w:sz w:val="32"/>
          <w:szCs w:val="32"/>
        </w:rPr>
        <w:t>确保绩效目标设置细化、量化，便于衡量考核。</w:t>
      </w:r>
    </w:p>
    <w:p w14:paraId="2C1AC7CC" w14:textId="77777777" w:rsidR="00D36E36" w:rsidRDefault="000C532B">
      <w:pPr>
        <w:adjustRightInd w:val="0"/>
        <w:snapToGrid w:val="0"/>
        <w:spacing w:line="360" w:lineRule="auto"/>
        <w:ind w:right="1281"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附件：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</w:t>
      </w:r>
      <w:r w:rsidRPr="0069686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4</w:t>
      </w:r>
      <w:r w:rsidRPr="0069686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年度部门整体绩效评价指标体系评表</w:t>
      </w:r>
    </w:p>
    <w:sectPr w:rsidR="00D36E36">
      <w:footerReference w:type="default" r:id="rId11"/>
      <w:pgSz w:w="11906" w:h="16838"/>
      <w:pgMar w:top="2098" w:right="1531" w:bottom="1985" w:left="153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13EBB" w14:textId="77777777" w:rsidR="001225F9" w:rsidRDefault="001225F9">
      <w:r>
        <w:separator/>
      </w:r>
    </w:p>
  </w:endnote>
  <w:endnote w:type="continuationSeparator" w:id="0">
    <w:p w14:paraId="518CD354" w14:textId="77777777" w:rsidR="001225F9" w:rsidRDefault="0012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6FAE2" w14:textId="77777777" w:rsidR="00D36E36" w:rsidRDefault="00D36E36">
    <w:pPr>
      <w:pStyle w:val="a4"/>
      <w:jc w:val="center"/>
    </w:pPr>
  </w:p>
  <w:p w14:paraId="161377BC" w14:textId="77777777" w:rsidR="00D36E36" w:rsidRDefault="00D36E3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7849745"/>
    </w:sdtPr>
    <w:sdtEndPr/>
    <w:sdtContent>
      <w:p w14:paraId="0AFB44AB" w14:textId="77777777" w:rsidR="00D36E36" w:rsidRDefault="000C53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6868" w:rsidRPr="00696868">
          <w:rPr>
            <w:noProof/>
            <w:lang w:val="zh-CN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25556" w14:textId="77777777" w:rsidR="001225F9" w:rsidRDefault="001225F9">
      <w:r>
        <w:separator/>
      </w:r>
    </w:p>
  </w:footnote>
  <w:footnote w:type="continuationSeparator" w:id="0">
    <w:p w14:paraId="0D09ABEF" w14:textId="77777777" w:rsidR="001225F9" w:rsidRDefault="00122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B364D" w14:textId="77777777" w:rsidR="00D36E36" w:rsidRDefault="00D36E36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CB2327"/>
    <w:multiLevelType w:val="singleLevel"/>
    <w:tmpl w:val="9FCB232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ZGQ5ZWQ1MmJhMGZkNmYwMjg3MjM4MGI4MGE3YjQifQ=="/>
  </w:docVars>
  <w:rsids>
    <w:rsidRoot w:val="008E50BE"/>
    <w:rsid w:val="000017F2"/>
    <w:rsid w:val="000064BE"/>
    <w:rsid w:val="00010AE8"/>
    <w:rsid w:val="00015DC3"/>
    <w:rsid w:val="000201D9"/>
    <w:rsid w:val="00025CC1"/>
    <w:rsid w:val="0002789F"/>
    <w:rsid w:val="00033E91"/>
    <w:rsid w:val="0004266F"/>
    <w:rsid w:val="00042685"/>
    <w:rsid w:val="0004482A"/>
    <w:rsid w:val="000459F7"/>
    <w:rsid w:val="00046F03"/>
    <w:rsid w:val="00047791"/>
    <w:rsid w:val="00051746"/>
    <w:rsid w:val="00052243"/>
    <w:rsid w:val="00052DDD"/>
    <w:rsid w:val="00052F75"/>
    <w:rsid w:val="00052FEF"/>
    <w:rsid w:val="00054CCE"/>
    <w:rsid w:val="0005518E"/>
    <w:rsid w:val="000551AC"/>
    <w:rsid w:val="00056355"/>
    <w:rsid w:val="00056925"/>
    <w:rsid w:val="000606DA"/>
    <w:rsid w:val="000606EC"/>
    <w:rsid w:val="00061C14"/>
    <w:rsid w:val="00061C61"/>
    <w:rsid w:val="0006355E"/>
    <w:rsid w:val="00064D9C"/>
    <w:rsid w:val="0007563C"/>
    <w:rsid w:val="00085B1E"/>
    <w:rsid w:val="00086D11"/>
    <w:rsid w:val="00087C4E"/>
    <w:rsid w:val="000A23CF"/>
    <w:rsid w:val="000A2A87"/>
    <w:rsid w:val="000B311A"/>
    <w:rsid w:val="000C532B"/>
    <w:rsid w:val="000C663C"/>
    <w:rsid w:val="000D0D96"/>
    <w:rsid w:val="000D4635"/>
    <w:rsid w:val="000D550F"/>
    <w:rsid w:val="000E0442"/>
    <w:rsid w:val="000E0777"/>
    <w:rsid w:val="000E0B6F"/>
    <w:rsid w:val="000E2995"/>
    <w:rsid w:val="000E375F"/>
    <w:rsid w:val="000E45DF"/>
    <w:rsid w:val="000F0184"/>
    <w:rsid w:val="000F1FEC"/>
    <w:rsid w:val="000F25C7"/>
    <w:rsid w:val="000F2ADB"/>
    <w:rsid w:val="000F2D7B"/>
    <w:rsid w:val="000F4755"/>
    <w:rsid w:val="000F4A6D"/>
    <w:rsid w:val="000F5CC0"/>
    <w:rsid w:val="001036DE"/>
    <w:rsid w:val="00112F8F"/>
    <w:rsid w:val="0011532A"/>
    <w:rsid w:val="001161CC"/>
    <w:rsid w:val="001163C6"/>
    <w:rsid w:val="001201C3"/>
    <w:rsid w:val="00120716"/>
    <w:rsid w:val="001225F9"/>
    <w:rsid w:val="001227B2"/>
    <w:rsid w:val="00123120"/>
    <w:rsid w:val="001235E8"/>
    <w:rsid w:val="001266D1"/>
    <w:rsid w:val="00130AA3"/>
    <w:rsid w:val="0014224C"/>
    <w:rsid w:val="00144874"/>
    <w:rsid w:val="00144E4F"/>
    <w:rsid w:val="00150ED6"/>
    <w:rsid w:val="0015156B"/>
    <w:rsid w:val="00154130"/>
    <w:rsid w:val="0015423E"/>
    <w:rsid w:val="00156178"/>
    <w:rsid w:val="001640E6"/>
    <w:rsid w:val="001662FE"/>
    <w:rsid w:val="00173045"/>
    <w:rsid w:val="001835A1"/>
    <w:rsid w:val="00184215"/>
    <w:rsid w:val="00184835"/>
    <w:rsid w:val="00184F66"/>
    <w:rsid w:val="0018543B"/>
    <w:rsid w:val="00187389"/>
    <w:rsid w:val="001919EA"/>
    <w:rsid w:val="001928F3"/>
    <w:rsid w:val="00196361"/>
    <w:rsid w:val="001A42D5"/>
    <w:rsid w:val="001A5398"/>
    <w:rsid w:val="001A6530"/>
    <w:rsid w:val="001A7210"/>
    <w:rsid w:val="001B0CBF"/>
    <w:rsid w:val="001B6E1E"/>
    <w:rsid w:val="001B783E"/>
    <w:rsid w:val="001C10CE"/>
    <w:rsid w:val="001C13F7"/>
    <w:rsid w:val="001C3521"/>
    <w:rsid w:val="001C4E97"/>
    <w:rsid w:val="001D0676"/>
    <w:rsid w:val="001D317F"/>
    <w:rsid w:val="001E0AF4"/>
    <w:rsid w:val="001E2587"/>
    <w:rsid w:val="001E35A2"/>
    <w:rsid w:val="001E7101"/>
    <w:rsid w:val="001E7B9B"/>
    <w:rsid w:val="001F0A4A"/>
    <w:rsid w:val="001F0AEF"/>
    <w:rsid w:val="001F1E6B"/>
    <w:rsid w:val="001F56D6"/>
    <w:rsid w:val="001F777F"/>
    <w:rsid w:val="00205AD5"/>
    <w:rsid w:val="00205D86"/>
    <w:rsid w:val="00206E23"/>
    <w:rsid w:val="0021283A"/>
    <w:rsid w:val="00212EF7"/>
    <w:rsid w:val="00214E9C"/>
    <w:rsid w:val="002160FA"/>
    <w:rsid w:val="00216750"/>
    <w:rsid w:val="00232A11"/>
    <w:rsid w:val="00237A64"/>
    <w:rsid w:val="00240D02"/>
    <w:rsid w:val="002500BA"/>
    <w:rsid w:val="0025325E"/>
    <w:rsid w:val="00253D56"/>
    <w:rsid w:val="00255CC8"/>
    <w:rsid w:val="002569C5"/>
    <w:rsid w:val="00260311"/>
    <w:rsid w:val="00262526"/>
    <w:rsid w:val="00267C1C"/>
    <w:rsid w:val="00277629"/>
    <w:rsid w:val="002902E8"/>
    <w:rsid w:val="00290D9B"/>
    <w:rsid w:val="00293ABA"/>
    <w:rsid w:val="002946A2"/>
    <w:rsid w:val="00296CE5"/>
    <w:rsid w:val="002A0627"/>
    <w:rsid w:val="002A2767"/>
    <w:rsid w:val="002A7665"/>
    <w:rsid w:val="002B3E52"/>
    <w:rsid w:val="002B50A9"/>
    <w:rsid w:val="002C0938"/>
    <w:rsid w:val="002C2183"/>
    <w:rsid w:val="002C389C"/>
    <w:rsid w:val="002C3FA6"/>
    <w:rsid w:val="002C4010"/>
    <w:rsid w:val="002C4CA6"/>
    <w:rsid w:val="002C5D90"/>
    <w:rsid w:val="002D06F7"/>
    <w:rsid w:val="002D452B"/>
    <w:rsid w:val="002D782D"/>
    <w:rsid w:val="002E0D02"/>
    <w:rsid w:val="002E5C19"/>
    <w:rsid w:val="002E648F"/>
    <w:rsid w:val="002F0E7D"/>
    <w:rsid w:val="002F16B6"/>
    <w:rsid w:val="002F2DFE"/>
    <w:rsid w:val="002F427F"/>
    <w:rsid w:val="002F57BD"/>
    <w:rsid w:val="002F5DF2"/>
    <w:rsid w:val="002F739A"/>
    <w:rsid w:val="003006BA"/>
    <w:rsid w:val="00301B84"/>
    <w:rsid w:val="00303537"/>
    <w:rsid w:val="00303A99"/>
    <w:rsid w:val="003215C8"/>
    <w:rsid w:val="003233C2"/>
    <w:rsid w:val="00323F56"/>
    <w:rsid w:val="003249AD"/>
    <w:rsid w:val="00325384"/>
    <w:rsid w:val="00331061"/>
    <w:rsid w:val="00331C2E"/>
    <w:rsid w:val="00332331"/>
    <w:rsid w:val="0033482C"/>
    <w:rsid w:val="00335209"/>
    <w:rsid w:val="00337A9D"/>
    <w:rsid w:val="00340891"/>
    <w:rsid w:val="00342FA5"/>
    <w:rsid w:val="003434A5"/>
    <w:rsid w:val="0035480D"/>
    <w:rsid w:val="00355D4D"/>
    <w:rsid w:val="00355E62"/>
    <w:rsid w:val="003572A7"/>
    <w:rsid w:val="00360CA4"/>
    <w:rsid w:val="0036191F"/>
    <w:rsid w:val="00362CE2"/>
    <w:rsid w:val="003666B4"/>
    <w:rsid w:val="00367007"/>
    <w:rsid w:val="00373EA7"/>
    <w:rsid w:val="00374225"/>
    <w:rsid w:val="003744EA"/>
    <w:rsid w:val="003818C3"/>
    <w:rsid w:val="00382580"/>
    <w:rsid w:val="0038329B"/>
    <w:rsid w:val="00383563"/>
    <w:rsid w:val="00386303"/>
    <w:rsid w:val="00392871"/>
    <w:rsid w:val="00393BB7"/>
    <w:rsid w:val="003A3E37"/>
    <w:rsid w:val="003A460C"/>
    <w:rsid w:val="003B2381"/>
    <w:rsid w:val="003B3C73"/>
    <w:rsid w:val="003B3C96"/>
    <w:rsid w:val="003B6AAC"/>
    <w:rsid w:val="003C0D0F"/>
    <w:rsid w:val="003C4559"/>
    <w:rsid w:val="003C65AA"/>
    <w:rsid w:val="003D02FE"/>
    <w:rsid w:val="003D20F3"/>
    <w:rsid w:val="003D3741"/>
    <w:rsid w:val="003D5702"/>
    <w:rsid w:val="003D6A10"/>
    <w:rsid w:val="003D79FA"/>
    <w:rsid w:val="003E346A"/>
    <w:rsid w:val="003E3569"/>
    <w:rsid w:val="003E71F8"/>
    <w:rsid w:val="003F071C"/>
    <w:rsid w:val="003F2907"/>
    <w:rsid w:val="003F4A84"/>
    <w:rsid w:val="00402F56"/>
    <w:rsid w:val="00404D2F"/>
    <w:rsid w:val="00405779"/>
    <w:rsid w:val="0040598B"/>
    <w:rsid w:val="00411B6D"/>
    <w:rsid w:val="00414480"/>
    <w:rsid w:val="00416178"/>
    <w:rsid w:val="004170A5"/>
    <w:rsid w:val="004174EC"/>
    <w:rsid w:val="00422738"/>
    <w:rsid w:val="00423D06"/>
    <w:rsid w:val="00424E09"/>
    <w:rsid w:val="00431941"/>
    <w:rsid w:val="00433C14"/>
    <w:rsid w:val="004442C0"/>
    <w:rsid w:val="00445A88"/>
    <w:rsid w:val="00453585"/>
    <w:rsid w:val="00453917"/>
    <w:rsid w:val="00457E8C"/>
    <w:rsid w:val="0047145F"/>
    <w:rsid w:val="00472176"/>
    <w:rsid w:val="004730FC"/>
    <w:rsid w:val="004739EE"/>
    <w:rsid w:val="00475251"/>
    <w:rsid w:val="00475A0E"/>
    <w:rsid w:val="004766E6"/>
    <w:rsid w:val="00480ADA"/>
    <w:rsid w:val="00481D06"/>
    <w:rsid w:val="00482FAC"/>
    <w:rsid w:val="00483A04"/>
    <w:rsid w:val="00486BC0"/>
    <w:rsid w:val="00487B58"/>
    <w:rsid w:val="00491375"/>
    <w:rsid w:val="00494013"/>
    <w:rsid w:val="0049446D"/>
    <w:rsid w:val="00496AF4"/>
    <w:rsid w:val="004A4122"/>
    <w:rsid w:val="004A77CF"/>
    <w:rsid w:val="004B3F16"/>
    <w:rsid w:val="004B7038"/>
    <w:rsid w:val="004C048E"/>
    <w:rsid w:val="004C08C9"/>
    <w:rsid w:val="004C1171"/>
    <w:rsid w:val="004C1580"/>
    <w:rsid w:val="004C1BCF"/>
    <w:rsid w:val="004C2D39"/>
    <w:rsid w:val="004C453E"/>
    <w:rsid w:val="004C62FE"/>
    <w:rsid w:val="004D0517"/>
    <w:rsid w:val="004D49AB"/>
    <w:rsid w:val="004D52D3"/>
    <w:rsid w:val="004E1F25"/>
    <w:rsid w:val="004E33CD"/>
    <w:rsid w:val="004E6525"/>
    <w:rsid w:val="004F0489"/>
    <w:rsid w:val="004F1B48"/>
    <w:rsid w:val="004F42A3"/>
    <w:rsid w:val="004F5C1E"/>
    <w:rsid w:val="004F7989"/>
    <w:rsid w:val="005010EC"/>
    <w:rsid w:val="005012FF"/>
    <w:rsid w:val="005015F0"/>
    <w:rsid w:val="00503089"/>
    <w:rsid w:val="00504C9B"/>
    <w:rsid w:val="00510538"/>
    <w:rsid w:val="005137A0"/>
    <w:rsid w:val="005151CB"/>
    <w:rsid w:val="005222B1"/>
    <w:rsid w:val="00523064"/>
    <w:rsid w:val="00524100"/>
    <w:rsid w:val="00524843"/>
    <w:rsid w:val="0052521B"/>
    <w:rsid w:val="0053011C"/>
    <w:rsid w:val="00537A4A"/>
    <w:rsid w:val="00537BBB"/>
    <w:rsid w:val="00540893"/>
    <w:rsid w:val="00541F70"/>
    <w:rsid w:val="00543441"/>
    <w:rsid w:val="00545193"/>
    <w:rsid w:val="00552A28"/>
    <w:rsid w:val="00561808"/>
    <w:rsid w:val="005716BC"/>
    <w:rsid w:val="00572169"/>
    <w:rsid w:val="00572C9C"/>
    <w:rsid w:val="00573DC8"/>
    <w:rsid w:val="005749EC"/>
    <w:rsid w:val="00577941"/>
    <w:rsid w:val="005803F4"/>
    <w:rsid w:val="00584DD7"/>
    <w:rsid w:val="005859B6"/>
    <w:rsid w:val="005862EE"/>
    <w:rsid w:val="005905FF"/>
    <w:rsid w:val="00596BFB"/>
    <w:rsid w:val="005A3F60"/>
    <w:rsid w:val="005B02A8"/>
    <w:rsid w:val="005B54C1"/>
    <w:rsid w:val="005B691B"/>
    <w:rsid w:val="005B7816"/>
    <w:rsid w:val="005B7978"/>
    <w:rsid w:val="005B7D91"/>
    <w:rsid w:val="005C0063"/>
    <w:rsid w:val="005C3911"/>
    <w:rsid w:val="005C58FF"/>
    <w:rsid w:val="005C6F98"/>
    <w:rsid w:val="005D0C67"/>
    <w:rsid w:val="005D2D0C"/>
    <w:rsid w:val="005E0BDD"/>
    <w:rsid w:val="005E2AD1"/>
    <w:rsid w:val="005E2CC2"/>
    <w:rsid w:val="005E4F4F"/>
    <w:rsid w:val="005E6902"/>
    <w:rsid w:val="005F310C"/>
    <w:rsid w:val="005F3572"/>
    <w:rsid w:val="005F4617"/>
    <w:rsid w:val="005F526F"/>
    <w:rsid w:val="005F5A8C"/>
    <w:rsid w:val="005F75BF"/>
    <w:rsid w:val="00600506"/>
    <w:rsid w:val="00604647"/>
    <w:rsid w:val="0060702E"/>
    <w:rsid w:val="00611E38"/>
    <w:rsid w:val="006129C6"/>
    <w:rsid w:val="006129D6"/>
    <w:rsid w:val="00615D87"/>
    <w:rsid w:val="006267CB"/>
    <w:rsid w:val="006268E6"/>
    <w:rsid w:val="00626BC6"/>
    <w:rsid w:val="006272F7"/>
    <w:rsid w:val="006307E7"/>
    <w:rsid w:val="00631A1A"/>
    <w:rsid w:val="00631F13"/>
    <w:rsid w:val="0063217F"/>
    <w:rsid w:val="00632936"/>
    <w:rsid w:val="00632C61"/>
    <w:rsid w:val="006416E3"/>
    <w:rsid w:val="006427F9"/>
    <w:rsid w:val="0064528B"/>
    <w:rsid w:val="006459AC"/>
    <w:rsid w:val="00647702"/>
    <w:rsid w:val="006537FA"/>
    <w:rsid w:val="00657CEB"/>
    <w:rsid w:val="00661752"/>
    <w:rsid w:val="0066242E"/>
    <w:rsid w:val="00662731"/>
    <w:rsid w:val="0066552A"/>
    <w:rsid w:val="00665829"/>
    <w:rsid w:val="00666FD7"/>
    <w:rsid w:val="0067680C"/>
    <w:rsid w:val="00681F71"/>
    <w:rsid w:val="006831E6"/>
    <w:rsid w:val="00690B12"/>
    <w:rsid w:val="00691294"/>
    <w:rsid w:val="0069283E"/>
    <w:rsid w:val="00694C09"/>
    <w:rsid w:val="006960E4"/>
    <w:rsid w:val="00696868"/>
    <w:rsid w:val="006A0993"/>
    <w:rsid w:val="006A1922"/>
    <w:rsid w:val="006A2AA4"/>
    <w:rsid w:val="006A34D5"/>
    <w:rsid w:val="006B22D8"/>
    <w:rsid w:val="006B370D"/>
    <w:rsid w:val="006B6C5F"/>
    <w:rsid w:val="006B6CA8"/>
    <w:rsid w:val="006C1C54"/>
    <w:rsid w:val="006C32FB"/>
    <w:rsid w:val="006C43FF"/>
    <w:rsid w:val="006D2364"/>
    <w:rsid w:val="006E1C09"/>
    <w:rsid w:val="006E4728"/>
    <w:rsid w:val="006F3B70"/>
    <w:rsid w:val="006F3E9A"/>
    <w:rsid w:val="006F5130"/>
    <w:rsid w:val="00703ED4"/>
    <w:rsid w:val="0070532F"/>
    <w:rsid w:val="00706B39"/>
    <w:rsid w:val="00707730"/>
    <w:rsid w:val="007111B5"/>
    <w:rsid w:val="00712654"/>
    <w:rsid w:val="007174A4"/>
    <w:rsid w:val="00720383"/>
    <w:rsid w:val="007214CE"/>
    <w:rsid w:val="0072323D"/>
    <w:rsid w:val="0073230D"/>
    <w:rsid w:val="007355CD"/>
    <w:rsid w:val="00741849"/>
    <w:rsid w:val="00741AC5"/>
    <w:rsid w:val="00743BBF"/>
    <w:rsid w:val="007440F1"/>
    <w:rsid w:val="007444CA"/>
    <w:rsid w:val="00747F7E"/>
    <w:rsid w:val="00751680"/>
    <w:rsid w:val="00751931"/>
    <w:rsid w:val="00756B85"/>
    <w:rsid w:val="00757AA8"/>
    <w:rsid w:val="00762AC5"/>
    <w:rsid w:val="00764885"/>
    <w:rsid w:val="00770AFA"/>
    <w:rsid w:val="007717B5"/>
    <w:rsid w:val="00773EC4"/>
    <w:rsid w:val="00775EF0"/>
    <w:rsid w:val="007767D8"/>
    <w:rsid w:val="007802CE"/>
    <w:rsid w:val="007817D8"/>
    <w:rsid w:val="00783B9A"/>
    <w:rsid w:val="00792CA7"/>
    <w:rsid w:val="007A054B"/>
    <w:rsid w:val="007A15EE"/>
    <w:rsid w:val="007A3EEA"/>
    <w:rsid w:val="007A54BC"/>
    <w:rsid w:val="007B2E12"/>
    <w:rsid w:val="007B5A27"/>
    <w:rsid w:val="007C0D65"/>
    <w:rsid w:val="007C3991"/>
    <w:rsid w:val="007C3C26"/>
    <w:rsid w:val="007E63DA"/>
    <w:rsid w:val="007F1578"/>
    <w:rsid w:val="007F277A"/>
    <w:rsid w:val="007F5966"/>
    <w:rsid w:val="007F5D63"/>
    <w:rsid w:val="007F743B"/>
    <w:rsid w:val="00800843"/>
    <w:rsid w:val="00803C51"/>
    <w:rsid w:val="00804744"/>
    <w:rsid w:val="008065EE"/>
    <w:rsid w:val="00807ED8"/>
    <w:rsid w:val="00815D9C"/>
    <w:rsid w:val="00816FAC"/>
    <w:rsid w:val="00817F34"/>
    <w:rsid w:val="0082202F"/>
    <w:rsid w:val="00827200"/>
    <w:rsid w:val="0083334A"/>
    <w:rsid w:val="00833883"/>
    <w:rsid w:val="0083486B"/>
    <w:rsid w:val="00841682"/>
    <w:rsid w:val="00842F19"/>
    <w:rsid w:val="00843CDF"/>
    <w:rsid w:val="008441D0"/>
    <w:rsid w:val="0084575B"/>
    <w:rsid w:val="00854BEA"/>
    <w:rsid w:val="00855145"/>
    <w:rsid w:val="00860B99"/>
    <w:rsid w:val="00861AEC"/>
    <w:rsid w:val="00862B20"/>
    <w:rsid w:val="008639CB"/>
    <w:rsid w:val="008731A9"/>
    <w:rsid w:val="00874BF5"/>
    <w:rsid w:val="0087603B"/>
    <w:rsid w:val="00876B48"/>
    <w:rsid w:val="0087714D"/>
    <w:rsid w:val="00880138"/>
    <w:rsid w:val="0088207C"/>
    <w:rsid w:val="00887764"/>
    <w:rsid w:val="00887967"/>
    <w:rsid w:val="008918E7"/>
    <w:rsid w:val="008934B0"/>
    <w:rsid w:val="00894ADA"/>
    <w:rsid w:val="008A494C"/>
    <w:rsid w:val="008A7749"/>
    <w:rsid w:val="008B45F6"/>
    <w:rsid w:val="008B6911"/>
    <w:rsid w:val="008B72CD"/>
    <w:rsid w:val="008B7A23"/>
    <w:rsid w:val="008C0624"/>
    <w:rsid w:val="008C1950"/>
    <w:rsid w:val="008C1E1F"/>
    <w:rsid w:val="008C2912"/>
    <w:rsid w:val="008C35FB"/>
    <w:rsid w:val="008D1992"/>
    <w:rsid w:val="008D43C4"/>
    <w:rsid w:val="008D657C"/>
    <w:rsid w:val="008E3C07"/>
    <w:rsid w:val="008E50BE"/>
    <w:rsid w:val="008F118C"/>
    <w:rsid w:val="008F33CD"/>
    <w:rsid w:val="008F4BCA"/>
    <w:rsid w:val="008F51C9"/>
    <w:rsid w:val="008F60CB"/>
    <w:rsid w:val="009006D1"/>
    <w:rsid w:val="00901615"/>
    <w:rsid w:val="0090307D"/>
    <w:rsid w:val="00904E67"/>
    <w:rsid w:val="00906BC0"/>
    <w:rsid w:val="00906DE4"/>
    <w:rsid w:val="00906FD7"/>
    <w:rsid w:val="009073EB"/>
    <w:rsid w:val="009107C4"/>
    <w:rsid w:val="00911123"/>
    <w:rsid w:val="009115E2"/>
    <w:rsid w:val="00912528"/>
    <w:rsid w:val="00917B7A"/>
    <w:rsid w:val="0092052C"/>
    <w:rsid w:val="00923BEF"/>
    <w:rsid w:val="00924CD9"/>
    <w:rsid w:val="009301EC"/>
    <w:rsid w:val="0093206E"/>
    <w:rsid w:val="00935364"/>
    <w:rsid w:val="009375AB"/>
    <w:rsid w:val="00943F05"/>
    <w:rsid w:val="00946178"/>
    <w:rsid w:val="0094798F"/>
    <w:rsid w:val="009508C1"/>
    <w:rsid w:val="00951A81"/>
    <w:rsid w:val="00961308"/>
    <w:rsid w:val="00962BAE"/>
    <w:rsid w:val="00967563"/>
    <w:rsid w:val="009757EA"/>
    <w:rsid w:val="00984EC1"/>
    <w:rsid w:val="00991B90"/>
    <w:rsid w:val="00995464"/>
    <w:rsid w:val="009A1B21"/>
    <w:rsid w:val="009A1BBE"/>
    <w:rsid w:val="009B1894"/>
    <w:rsid w:val="009B65FC"/>
    <w:rsid w:val="009C0994"/>
    <w:rsid w:val="009C177D"/>
    <w:rsid w:val="009C318C"/>
    <w:rsid w:val="009C5E8B"/>
    <w:rsid w:val="009C648A"/>
    <w:rsid w:val="009D0820"/>
    <w:rsid w:val="009D1B50"/>
    <w:rsid w:val="009D38F8"/>
    <w:rsid w:val="009D3D08"/>
    <w:rsid w:val="009D4C15"/>
    <w:rsid w:val="009E3E84"/>
    <w:rsid w:val="009E5856"/>
    <w:rsid w:val="009F4A88"/>
    <w:rsid w:val="009F5DF0"/>
    <w:rsid w:val="00A00A50"/>
    <w:rsid w:val="00A00AE5"/>
    <w:rsid w:val="00A00BE6"/>
    <w:rsid w:val="00A01E7D"/>
    <w:rsid w:val="00A03B17"/>
    <w:rsid w:val="00A04F72"/>
    <w:rsid w:val="00A06AC2"/>
    <w:rsid w:val="00A07E54"/>
    <w:rsid w:val="00A124B6"/>
    <w:rsid w:val="00A1413E"/>
    <w:rsid w:val="00A2733C"/>
    <w:rsid w:val="00A31C87"/>
    <w:rsid w:val="00A348E6"/>
    <w:rsid w:val="00A36907"/>
    <w:rsid w:val="00A41BCB"/>
    <w:rsid w:val="00A43348"/>
    <w:rsid w:val="00A43BED"/>
    <w:rsid w:val="00A444C7"/>
    <w:rsid w:val="00A54EBA"/>
    <w:rsid w:val="00A5649E"/>
    <w:rsid w:val="00A57E76"/>
    <w:rsid w:val="00A70D3D"/>
    <w:rsid w:val="00A7104F"/>
    <w:rsid w:val="00A725D7"/>
    <w:rsid w:val="00A74382"/>
    <w:rsid w:val="00A84CD2"/>
    <w:rsid w:val="00A86D86"/>
    <w:rsid w:val="00A92DDF"/>
    <w:rsid w:val="00A95944"/>
    <w:rsid w:val="00AA04DD"/>
    <w:rsid w:val="00AA32F6"/>
    <w:rsid w:val="00AA399F"/>
    <w:rsid w:val="00AA625D"/>
    <w:rsid w:val="00AA7473"/>
    <w:rsid w:val="00AB17EA"/>
    <w:rsid w:val="00AB1CA7"/>
    <w:rsid w:val="00AB436B"/>
    <w:rsid w:val="00AD0FF3"/>
    <w:rsid w:val="00AD5B1D"/>
    <w:rsid w:val="00AD6BFE"/>
    <w:rsid w:val="00AD7281"/>
    <w:rsid w:val="00AE034F"/>
    <w:rsid w:val="00AE35F7"/>
    <w:rsid w:val="00AE3833"/>
    <w:rsid w:val="00AF0775"/>
    <w:rsid w:val="00AF120F"/>
    <w:rsid w:val="00AF5586"/>
    <w:rsid w:val="00AF6BB4"/>
    <w:rsid w:val="00B0140B"/>
    <w:rsid w:val="00B01C20"/>
    <w:rsid w:val="00B020F1"/>
    <w:rsid w:val="00B05D75"/>
    <w:rsid w:val="00B06B7C"/>
    <w:rsid w:val="00B10E87"/>
    <w:rsid w:val="00B11210"/>
    <w:rsid w:val="00B11646"/>
    <w:rsid w:val="00B13420"/>
    <w:rsid w:val="00B1429B"/>
    <w:rsid w:val="00B17B6A"/>
    <w:rsid w:val="00B17BC9"/>
    <w:rsid w:val="00B217CB"/>
    <w:rsid w:val="00B21BEA"/>
    <w:rsid w:val="00B2342F"/>
    <w:rsid w:val="00B2650D"/>
    <w:rsid w:val="00B32248"/>
    <w:rsid w:val="00B34912"/>
    <w:rsid w:val="00B36463"/>
    <w:rsid w:val="00B37DD6"/>
    <w:rsid w:val="00B43487"/>
    <w:rsid w:val="00B4430A"/>
    <w:rsid w:val="00B45404"/>
    <w:rsid w:val="00B506BC"/>
    <w:rsid w:val="00B51B60"/>
    <w:rsid w:val="00B52015"/>
    <w:rsid w:val="00B5218B"/>
    <w:rsid w:val="00B54C7A"/>
    <w:rsid w:val="00B57686"/>
    <w:rsid w:val="00B63B08"/>
    <w:rsid w:val="00B6419A"/>
    <w:rsid w:val="00B64F07"/>
    <w:rsid w:val="00B67151"/>
    <w:rsid w:val="00B7076A"/>
    <w:rsid w:val="00B7277A"/>
    <w:rsid w:val="00B7749D"/>
    <w:rsid w:val="00B77CC6"/>
    <w:rsid w:val="00B87EE7"/>
    <w:rsid w:val="00B90549"/>
    <w:rsid w:val="00B90A6D"/>
    <w:rsid w:val="00B92AB1"/>
    <w:rsid w:val="00B9416B"/>
    <w:rsid w:val="00BA268D"/>
    <w:rsid w:val="00BA5BCA"/>
    <w:rsid w:val="00BA5CC6"/>
    <w:rsid w:val="00BB1B8F"/>
    <w:rsid w:val="00BB1BB8"/>
    <w:rsid w:val="00BB2A69"/>
    <w:rsid w:val="00BB3B00"/>
    <w:rsid w:val="00BC061E"/>
    <w:rsid w:val="00BC2108"/>
    <w:rsid w:val="00BD3E16"/>
    <w:rsid w:val="00BD49F1"/>
    <w:rsid w:val="00BE0331"/>
    <w:rsid w:val="00BE2518"/>
    <w:rsid w:val="00BE542F"/>
    <w:rsid w:val="00BE6AB7"/>
    <w:rsid w:val="00BF0055"/>
    <w:rsid w:val="00BF0DAC"/>
    <w:rsid w:val="00BF1707"/>
    <w:rsid w:val="00BF5A67"/>
    <w:rsid w:val="00C01EF5"/>
    <w:rsid w:val="00C059A1"/>
    <w:rsid w:val="00C05B36"/>
    <w:rsid w:val="00C0711A"/>
    <w:rsid w:val="00C12652"/>
    <w:rsid w:val="00C165ED"/>
    <w:rsid w:val="00C17F87"/>
    <w:rsid w:val="00C326A2"/>
    <w:rsid w:val="00C32C9F"/>
    <w:rsid w:val="00C33F0C"/>
    <w:rsid w:val="00C35CCB"/>
    <w:rsid w:val="00C41711"/>
    <w:rsid w:val="00C41A54"/>
    <w:rsid w:val="00C46CFB"/>
    <w:rsid w:val="00C47B64"/>
    <w:rsid w:val="00C47F2A"/>
    <w:rsid w:val="00C51440"/>
    <w:rsid w:val="00C51B1D"/>
    <w:rsid w:val="00C53279"/>
    <w:rsid w:val="00C613AD"/>
    <w:rsid w:val="00C65761"/>
    <w:rsid w:val="00C709A4"/>
    <w:rsid w:val="00C72AD1"/>
    <w:rsid w:val="00C73197"/>
    <w:rsid w:val="00C73A3D"/>
    <w:rsid w:val="00C7571B"/>
    <w:rsid w:val="00C76C14"/>
    <w:rsid w:val="00C8131A"/>
    <w:rsid w:val="00C857A6"/>
    <w:rsid w:val="00C86328"/>
    <w:rsid w:val="00C90775"/>
    <w:rsid w:val="00C92984"/>
    <w:rsid w:val="00C955A8"/>
    <w:rsid w:val="00C961E1"/>
    <w:rsid w:val="00C97BAB"/>
    <w:rsid w:val="00CA2851"/>
    <w:rsid w:val="00CA3C1C"/>
    <w:rsid w:val="00CA6CA9"/>
    <w:rsid w:val="00CB35FE"/>
    <w:rsid w:val="00CC2D0D"/>
    <w:rsid w:val="00CC6E0E"/>
    <w:rsid w:val="00CD01C4"/>
    <w:rsid w:val="00CD3D64"/>
    <w:rsid w:val="00CD4281"/>
    <w:rsid w:val="00CD61EA"/>
    <w:rsid w:val="00CD77C4"/>
    <w:rsid w:val="00CE4EF3"/>
    <w:rsid w:val="00CE693D"/>
    <w:rsid w:val="00CF35CF"/>
    <w:rsid w:val="00CF7E83"/>
    <w:rsid w:val="00D039A5"/>
    <w:rsid w:val="00D03C24"/>
    <w:rsid w:val="00D074B7"/>
    <w:rsid w:val="00D102C1"/>
    <w:rsid w:val="00D11119"/>
    <w:rsid w:val="00D137AC"/>
    <w:rsid w:val="00D14A84"/>
    <w:rsid w:val="00D2022C"/>
    <w:rsid w:val="00D2076F"/>
    <w:rsid w:val="00D21FA8"/>
    <w:rsid w:val="00D231FE"/>
    <w:rsid w:val="00D26313"/>
    <w:rsid w:val="00D269AD"/>
    <w:rsid w:val="00D36AE1"/>
    <w:rsid w:val="00D36E36"/>
    <w:rsid w:val="00D37CE9"/>
    <w:rsid w:val="00D42169"/>
    <w:rsid w:val="00D4220F"/>
    <w:rsid w:val="00D443D3"/>
    <w:rsid w:val="00D4736F"/>
    <w:rsid w:val="00D47C21"/>
    <w:rsid w:val="00D50358"/>
    <w:rsid w:val="00D53037"/>
    <w:rsid w:val="00D530F9"/>
    <w:rsid w:val="00D560D0"/>
    <w:rsid w:val="00D57AD5"/>
    <w:rsid w:val="00D62963"/>
    <w:rsid w:val="00D646EA"/>
    <w:rsid w:val="00D65B8B"/>
    <w:rsid w:val="00D731AD"/>
    <w:rsid w:val="00D73641"/>
    <w:rsid w:val="00D7522C"/>
    <w:rsid w:val="00D76E07"/>
    <w:rsid w:val="00D81341"/>
    <w:rsid w:val="00D8142C"/>
    <w:rsid w:val="00D83363"/>
    <w:rsid w:val="00D83DC0"/>
    <w:rsid w:val="00D86EBE"/>
    <w:rsid w:val="00D908B6"/>
    <w:rsid w:val="00D94F1D"/>
    <w:rsid w:val="00D95246"/>
    <w:rsid w:val="00D954BC"/>
    <w:rsid w:val="00D9741B"/>
    <w:rsid w:val="00DA0E99"/>
    <w:rsid w:val="00DA11E6"/>
    <w:rsid w:val="00DA1A3A"/>
    <w:rsid w:val="00DA3253"/>
    <w:rsid w:val="00DA3C59"/>
    <w:rsid w:val="00DB1095"/>
    <w:rsid w:val="00DC18E2"/>
    <w:rsid w:val="00DC3EB2"/>
    <w:rsid w:val="00DD1263"/>
    <w:rsid w:val="00DD5481"/>
    <w:rsid w:val="00DE792F"/>
    <w:rsid w:val="00DE7C88"/>
    <w:rsid w:val="00DF1942"/>
    <w:rsid w:val="00DF298D"/>
    <w:rsid w:val="00DF43E6"/>
    <w:rsid w:val="00E01408"/>
    <w:rsid w:val="00E05BE2"/>
    <w:rsid w:val="00E0726C"/>
    <w:rsid w:val="00E11325"/>
    <w:rsid w:val="00E1367B"/>
    <w:rsid w:val="00E15858"/>
    <w:rsid w:val="00E16B56"/>
    <w:rsid w:val="00E25D56"/>
    <w:rsid w:val="00E27DE2"/>
    <w:rsid w:val="00E34E43"/>
    <w:rsid w:val="00E407D8"/>
    <w:rsid w:val="00E45B29"/>
    <w:rsid w:val="00E604CB"/>
    <w:rsid w:val="00E62688"/>
    <w:rsid w:val="00E64ADF"/>
    <w:rsid w:val="00E65422"/>
    <w:rsid w:val="00E66BB9"/>
    <w:rsid w:val="00E66C9B"/>
    <w:rsid w:val="00E71BF7"/>
    <w:rsid w:val="00E727BA"/>
    <w:rsid w:val="00E810B7"/>
    <w:rsid w:val="00E8768A"/>
    <w:rsid w:val="00E907C9"/>
    <w:rsid w:val="00E92A71"/>
    <w:rsid w:val="00E972B4"/>
    <w:rsid w:val="00EA1185"/>
    <w:rsid w:val="00EA3C46"/>
    <w:rsid w:val="00EA46DC"/>
    <w:rsid w:val="00EA5DE7"/>
    <w:rsid w:val="00EA6C58"/>
    <w:rsid w:val="00EB40A7"/>
    <w:rsid w:val="00EB4AE6"/>
    <w:rsid w:val="00EB6421"/>
    <w:rsid w:val="00EC1DFF"/>
    <w:rsid w:val="00EC1F23"/>
    <w:rsid w:val="00EC4E9E"/>
    <w:rsid w:val="00ED4A77"/>
    <w:rsid w:val="00ED701B"/>
    <w:rsid w:val="00ED710A"/>
    <w:rsid w:val="00ED72FA"/>
    <w:rsid w:val="00EE4DED"/>
    <w:rsid w:val="00EE53A1"/>
    <w:rsid w:val="00EE62C5"/>
    <w:rsid w:val="00EF0024"/>
    <w:rsid w:val="00EF072A"/>
    <w:rsid w:val="00EF180F"/>
    <w:rsid w:val="00EF18AC"/>
    <w:rsid w:val="00EF2FC5"/>
    <w:rsid w:val="00EF443A"/>
    <w:rsid w:val="00EF5A4C"/>
    <w:rsid w:val="00EF6DD7"/>
    <w:rsid w:val="00F02A20"/>
    <w:rsid w:val="00F05E40"/>
    <w:rsid w:val="00F11C94"/>
    <w:rsid w:val="00F138C8"/>
    <w:rsid w:val="00F13B9B"/>
    <w:rsid w:val="00F14909"/>
    <w:rsid w:val="00F1739C"/>
    <w:rsid w:val="00F22714"/>
    <w:rsid w:val="00F24400"/>
    <w:rsid w:val="00F25062"/>
    <w:rsid w:val="00F31C78"/>
    <w:rsid w:val="00F366D1"/>
    <w:rsid w:val="00F51DCC"/>
    <w:rsid w:val="00F53C7D"/>
    <w:rsid w:val="00F57B11"/>
    <w:rsid w:val="00F651CE"/>
    <w:rsid w:val="00F65CDF"/>
    <w:rsid w:val="00F706BF"/>
    <w:rsid w:val="00F70F43"/>
    <w:rsid w:val="00F718E8"/>
    <w:rsid w:val="00F751FD"/>
    <w:rsid w:val="00F8098C"/>
    <w:rsid w:val="00F8192E"/>
    <w:rsid w:val="00F83995"/>
    <w:rsid w:val="00F90833"/>
    <w:rsid w:val="00F94A5D"/>
    <w:rsid w:val="00F94D0F"/>
    <w:rsid w:val="00F959E9"/>
    <w:rsid w:val="00F972C3"/>
    <w:rsid w:val="00F978E1"/>
    <w:rsid w:val="00FA181D"/>
    <w:rsid w:val="00FA1B7C"/>
    <w:rsid w:val="00FA7A83"/>
    <w:rsid w:val="00FA7CC3"/>
    <w:rsid w:val="00FB0D15"/>
    <w:rsid w:val="00FB25FB"/>
    <w:rsid w:val="00FB3807"/>
    <w:rsid w:val="00FB4BA4"/>
    <w:rsid w:val="00FB72BD"/>
    <w:rsid w:val="00FB7CF1"/>
    <w:rsid w:val="00FC7F37"/>
    <w:rsid w:val="00FD2957"/>
    <w:rsid w:val="00FD5545"/>
    <w:rsid w:val="00FD5BD5"/>
    <w:rsid w:val="00FD6EFA"/>
    <w:rsid w:val="00FE453E"/>
    <w:rsid w:val="00FE4D3A"/>
    <w:rsid w:val="00FF1262"/>
    <w:rsid w:val="00FF1281"/>
    <w:rsid w:val="0C9475FE"/>
    <w:rsid w:val="0D0C53E6"/>
    <w:rsid w:val="192403D5"/>
    <w:rsid w:val="1EF53F2C"/>
    <w:rsid w:val="219A0F17"/>
    <w:rsid w:val="223937C9"/>
    <w:rsid w:val="23A221A9"/>
    <w:rsid w:val="262E5F76"/>
    <w:rsid w:val="26487037"/>
    <w:rsid w:val="29780D89"/>
    <w:rsid w:val="2CD85DF1"/>
    <w:rsid w:val="2F4329C0"/>
    <w:rsid w:val="34963664"/>
    <w:rsid w:val="3CD23C0C"/>
    <w:rsid w:val="3D485717"/>
    <w:rsid w:val="41877BDC"/>
    <w:rsid w:val="42287B4F"/>
    <w:rsid w:val="464A3A0C"/>
    <w:rsid w:val="54F84FB5"/>
    <w:rsid w:val="59C951F5"/>
    <w:rsid w:val="5C3C5BB8"/>
    <w:rsid w:val="5C83328F"/>
    <w:rsid w:val="5F126782"/>
    <w:rsid w:val="644B3070"/>
    <w:rsid w:val="65F8567D"/>
    <w:rsid w:val="6BBB468B"/>
    <w:rsid w:val="6CC00615"/>
    <w:rsid w:val="77735F0F"/>
    <w:rsid w:val="7DBF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qFormat/>
    <w:pPr>
      <w:ind w:leftChars="400" w:left="840"/>
    </w:pPr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qFormat/>
    <w:rPr>
      <w:b/>
      <w:bCs/>
    </w:rPr>
  </w:style>
  <w:style w:type="table" w:styleId="a8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qFormat/>
    <w:rPr>
      <w:sz w:val="21"/>
      <w:szCs w:val="21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1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1Char">
    <w:name w:val="标题 1 Char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style31">
    <w:name w:val="style31"/>
    <w:qFormat/>
    <w:rPr>
      <w:sz w:val="18"/>
      <w:szCs w:val="18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">
    <w:name w:val="批注文字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批注主题 Char"/>
    <w:basedOn w:val="Char"/>
    <w:link w:val="a7"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b">
    <w:name w:val="Balloon Text"/>
    <w:basedOn w:val="a"/>
    <w:link w:val="Char3"/>
    <w:rsid w:val="00112F8F"/>
    <w:rPr>
      <w:sz w:val="18"/>
      <w:szCs w:val="18"/>
    </w:rPr>
  </w:style>
  <w:style w:type="character" w:customStyle="1" w:styleId="Char3">
    <w:name w:val="批注框文本 Char"/>
    <w:basedOn w:val="a0"/>
    <w:link w:val="ab"/>
    <w:rsid w:val="00112F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unhideWhenUsed="1" w:qFormat="1"/>
    <w:lsdException w:name="toc 2" w:uiPriority="39" w:unhideWhenUsed="1" w:qFormat="1"/>
    <w:lsdException w:name="toc 3" w:uiPriority="39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3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qFormat/>
    <w:pPr>
      <w:ind w:leftChars="400" w:left="840"/>
    </w:pPr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</w:style>
  <w:style w:type="paragraph" w:styleId="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qFormat/>
    <w:rPr>
      <w:b/>
      <w:bCs/>
    </w:rPr>
  </w:style>
  <w:style w:type="table" w:styleId="a8">
    <w:name w:val="Table Grid"/>
    <w:basedOn w:val="a1"/>
    <w:autoRedefine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styleId="aa">
    <w:name w:val="annotation reference"/>
    <w:basedOn w:val="a0"/>
    <w:qFormat/>
    <w:rPr>
      <w:sz w:val="21"/>
      <w:szCs w:val="21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Char1">
    <w:name w:val="页眉 Char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1Char">
    <w:name w:val="标题 1 Char"/>
    <w:basedOn w:val="a0"/>
    <w:link w:val="1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style31">
    <w:name w:val="style31"/>
    <w:qFormat/>
    <w:rPr>
      <w:sz w:val="18"/>
      <w:szCs w:val="18"/>
    </w:rPr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">
    <w:name w:val="批注文字 Char"/>
    <w:basedOn w:val="a0"/>
    <w:link w:val="a3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har2">
    <w:name w:val="批注主题 Char"/>
    <w:basedOn w:val="Char"/>
    <w:link w:val="a7"/>
    <w:qFormat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styleId="ab">
    <w:name w:val="Balloon Text"/>
    <w:basedOn w:val="a"/>
    <w:link w:val="Char3"/>
    <w:rsid w:val="00112F8F"/>
    <w:rPr>
      <w:sz w:val="18"/>
      <w:szCs w:val="18"/>
    </w:rPr>
  </w:style>
  <w:style w:type="character" w:customStyle="1" w:styleId="Char3">
    <w:name w:val="批注框文本 Char"/>
    <w:basedOn w:val="a0"/>
    <w:link w:val="ab"/>
    <w:rsid w:val="00112F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E3EB3-0EDD-4644-92DA-5084AF227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927</Words>
  <Characters>5288</Characters>
  <Application>Microsoft Office Word</Application>
  <DocSecurity>0</DocSecurity>
  <Lines>44</Lines>
  <Paragraphs>12</Paragraphs>
  <ScaleCrop>false</ScaleCrop>
  <Company>Microsoft</Company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AutoBVT</cp:lastModifiedBy>
  <cp:revision>5</cp:revision>
  <dcterms:created xsi:type="dcterms:W3CDTF">2025-08-27T05:42:00Z</dcterms:created>
  <dcterms:modified xsi:type="dcterms:W3CDTF">2025-08-27T08:14:00Z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D9DD6B4619124FBD8852E01C09A1D588</vt:lpwstr>
  </property>
  <property fmtid="{D5CDD505-2E9C-101B-9397-08002B2CF9AE}" pid="4" name="KSOTemplateDocerSaveRecord">
    <vt:lpwstr>eyJoZGlkIjoiNGY5ZGQ5ZWQ1MmJhMGZkNmYwMjg3MjM4MGI4MGE3YjQiLCJ1c2VySWQiOiIyMzQyMzk4ODAifQ==</vt:lpwstr>
  </property>
</Properties>
</file>